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1CA08A" w14:textId="77777777" w:rsidR="00317647" w:rsidRDefault="00317647" w:rsidP="003A25C1">
      <w:pPr>
        <w:rPr>
          <w:color w:val="00B0F0"/>
          <w:sz w:val="40"/>
          <w:szCs w:val="40"/>
        </w:rPr>
      </w:pPr>
    </w:p>
    <w:p w14:paraId="4DE86EF4" w14:textId="38607554" w:rsidR="0099638F" w:rsidRPr="00BB131E" w:rsidRDefault="00437850" w:rsidP="00317647">
      <w:pPr>
        <w:jc w:val="center"/>
        <w:rPr>
          <w:color w:val="00B0F0"/>
          <w:sz w:val="40"/>
          <w:szCs w:val="40"/>
        </w:rPr>
      </w:pPr>
      <w:r>
        <w:rPr>
          <w:color w:val="00B0F0"/>
          <w:sz w:val="40"/>
          <w:szCs w:val="40"/>
        </w:rPr>
        <w:t xml:space="preserve">Competencies for </w:t>
      </w:r>
      <w:r w:rsidR="00CC743A">
        <w:rPr>
          <w:color w:val="00B0F0"/>
          <w:sz w:val="40"/>
          <w:szCs w:val="40"/>
        </w:rPr>
        <w:t>Teaching SusQI</w:t>
      </w:r>
      <w:r>
        <w:rPr>
          <w:color w:val="00B0F0"/>
          <w:sz w:val="40"/>
          <w:szCs w:val="40"/>
        </w:rPr>
        <w:t>:</w:t>
      </w:r>
      <w:r w:rsidR="00796EC6">
        <w:rPr>
          <w:color w:val="00B0F0"/>
          <w:sz w:val="40"/>
          <w:szCs w:val="40"/>
        </w:rPr>
        <w:t xml:space="preserve"> </w:t>
      </w:r>
      <w:r w:rsidR="00CC743A">
        <w:rPr>
          <w:color w:val="00B0F0"/>
          <w:sz w:val="40"/>
          <w:szCs w:val="40"/>
        </w:rPr>
        <w:t xml:space="preserve">a self-assessment </w:t>
      </w:r>
      <w:r w:rsidR="0055037F">
        <w:rPr>
          <w:color w:val="00B0F0"/>
          <w:sz w:val="40"/>
          <w:szCs w:val="40"/>
        </w:rPr>
        <w:t>tool</w:t>
      </w:r>
      <w:r w:rsidR="00CC743A">
        <w:rPr>
          <w:color w:val="00B0F0"/>
          <w:sz w:val="40"/>
          <w:szCs w:val="40"/>
        </w:rPr>
        <w:t xml:space="preserve"> for educators</w:t>
      </w:r>
    </w:p>
    <w:p w14:paraId="76A7B150" w14:textId="38728E7C" w:rsidR="00364BFE" w:rsidRDefault="00BB131E">
      <w:pPr>
        <w:rPr>
          <w:i/>
          <w:iCs/>
          <w:sz w:val="24"/>
          <w:szCs w:val="24"/>
        </w:rPr>
      </w:pPr>
      <w:r w:rsidRPr="0099638F">
        <w:rPr>
          <w:sz w:val="24"/>
          <w:szCs w:val="24"/>
        </w:rPr>
        <w:t xml:space="preserve">This </w:t>
      </w:r>
      <w:r w:rsidR="0055037F" w:rsidRPr="0099638F">
        <w:rPr>
          <w:sz w:val="24"/>
          <w:szCs w:val="24"/>
        </w:rPr>
        <w:t xml:space="preserve">self-assessment tool </w:t>
      </w:r>
      <w:r w:rsidR="00396A9A">
        <w:rPr>
          <w:sz w:val="24"/>
          <w:szCs w:val="24"/>
        </w:rPr>
        <w:t>functions as a</w:t>
      </w:r>
      <w:r w:rsidR="0055037F" w:rsidRPr="0099638F">
        <w:rPr>
          <w:sz w:val="24"/>
          <w:szCs w:val="24"/>
        </w:rPr>
        <w:t xml:space="preserve"> competencies ‘checklist</w:t>
      </w:r>
      <w:proofErr w:type="gramStart"/>
      <w:r w:rsidR="0055037F" w:rsidRPr="0099638F">
        <w:rPr>
          <w:sz w:val="24"/>
          <w:szCs w:val="24"/>
        </w:rPr>
        <w:t>’  in</w:t>
      </w:r>
      <w:proofErr w:type="gramEnd"/>
      <w:r w:rsidR="0055037F" w:rsidRPr="0099638F">
        <w:rPr>
          <w:sz w:val="24"/>
          <w:szCs w:val="24"/>
        </w:rPr>
        <w:t xml:space="preserve"> two main domains; </w:t>
      </w:r>
      <w:r w:rsidR="00403836" w:rsidRPr="0099638F">
        <w:rPr>
          <w:sz w:val="24"/>
          <w:szCs w:val="24"/>
        </w:rPr>
        <w:t xml:space="preserve">1) </w:t>
      </w:r>
      <w:r w:rsidR="0055037F" w:rsidRPr="0099638F">
        <w:rPr>
          <w:sz w:val="24"/>
          <w:szCs w:val="24"/>
        </w:rPr>
        <w:t>SusQI</w:t>
      </w:r>
      <w:r w:rsidR="00403836" w:rsidRPr="0099638F">
        <w:rPr>
          <w:sz w:val="24"/>
          <w:szCs w:val="24"/>
        </w:rPr>
        <w:t xml:space="preserve"> </w:t>
      </w:r>
      <w:r w:rsidR="0055037F" w:rsidRPr="0099638F">
        <w:rPr>
          <w:sz w:val="24"/>
          <w:szCs w:val="24"/>
        </w:rPr>
        <w:t>knowledge</w:t>
      </w:r>
      <w:r w:rsidR="001F248E" w:rsidRPr="0099638F">
        <w:rPr>
          <w:sz w:val="24"/>
          <w:szCs w:val="24"/>
        </w:rPr>
        <w:t>,</w:t>
      </w:r>
      <w:r w:rsidR="0055037F" w:rsidRPr="0099638F">
        <w:rPr>
          <w:sz w:val="24"/>
          <w:szCs w:val="24"/>
        </w:rPr>
        <w:t xml:space="preserve"> </w:t>
      </w:r>
      <w:r w:rsidR="00403836" w:rsidRPr="0099638F">
        <w:rPr>
          <w:sz w:val="24"/>
          <w:szCs w:val="24"/>
        </w:rPr>
        <w:t xml:space="preserve">2) </w:t>
      </w:r>
      <w:r w:rsidR="0055037F" w:rsidRPr="0099638F">
        <w:rPr>
          <w:sz w:val="24"/>
          <w:szCs w:val="24"/>
        </w:rPr>
        <w:t>teaching</w:t>
      </w:r>
      <w:r w:rsidR="003D1CCB">
        <w:rPr>
          <w:sz w:val="24"/>
          <w:szCs w:val="24"/>
        </w:rPr>
        <w:t xml:space="preserve"> and learning </w:t>
      </w:r>
      <w:r w:rsidR="0055037F" w:rsidRPr="0099638F">
        <w:rPr>
          <w:sz w:val="24"/>
          <w:szCs w:val="24"/>
        </w:rPr>
        <w:t>skills.</w:t>
      </w:r>
      <w:r w:rsidR="00396A9A">
        <w:rPr>
          <w:sz w:val="24"/>
          <w:szCs w:val="24"/>
        </w:rPr>
        <w:t xml:space="preserve"> </w:t>
      </w:r>
      <w:r w:rsidR="003D1CCB" w:rsidRPr="003D1CCB">
        <w:rPr>
          <w:sz w:val="24"/>
          <w:szCs w:val="24"/>
        </w:rPr>
        <w:t>It</w:t>
      </w:r>
      <w:r w:rsidR="00DE69F5" w:rsidRPr="003D1CCB">
        <w:rPr>
          <w:sz w:val="24"/>
          <w:szCs w:val="24"/>
        </w:rPr>
        <w:t xml:space="preserve"> is based on</w:t>
      </w:r>
      <w:r w:rsidR="003D1CCB" w:rsidRPr="003D1CCB">
        <w:rPr>
          <w:sz w:val="24"/>
          <w:szCs w:val="24"/>
        </w:rPr>
        <w:t>:</w:t>
      </w:r>
      <w:r w:rsidR="00824B24" w:rsidRPr="003D1CCB">
        <w:rPr>
          <w:sz w:val="24"/>
          <w:szCs w:val="24"/>
        </w:rPr>
        <w:t xml:space="preserve"> (1)</w:t>
      </w:r>
      <w:r w:rsidR="00DE69F5" w:rsidRPr="003D1CCB">
        <w:rPr>
          <w:sz w:val="24"/>
          <w:szCs w:val="24"/>
        </w:rPr>
        <w:t xml:space="preserve"> </w:t>
      </w:r>
      <w:hyperlink r:id="rId7" w:history="1">
        <w:r w:rsidR="00DE69F5" w:rsidRPr="003D1CCB">
          <w:rPr>
            <w:rStyle w:val="Hyperlink"/>
            <w:sz w:val="24"/>
            <w:szCs w:val="24"/>
          </w:rPr>
          <w:t>Academy of Medical Educators Professional Standards</w:t>
        </w:r>
      </w:hyperlink>
      <w:r w:rsidR="00DE69F5" w:rsidRPr="003D1CCB">
        <w:rPr>
          <w:sz w:val="24"/>
          <w:szCs w:val="24"/>
        </w:rPr>
        <w:t xml:space="preserve"> for medical, dental and veterinary educators, the </w:t>
      </w:r>
      <w:r w:rsidR="00824B24" w:rsidRPr="003D1CCB">
        <w:rPr>
          <w:sz w:val="24"/>
          <w:szCs w:val="24"/>
        </w:rPr>
        <w:t>(2)</w:t>
      </w:r>
      <w:hyperlink r:id="rId8" w:history="1">
        <w:r w:rsidR="00DE69F5" w:rsidRPr="003D1CCB">
          <w:rPr>
            <w:rStyle w:val="Hyperlink"/>
            <w:sz w:val="24"/>
            <w:szCs w:val="24"/>
          </w:rPr>
          <w:t xml:space="preserve">American Medical Colleges Quality Improvement and Patient Safety Competencies across the learning continuum </w:t>
        </w:r>
        <w:r w:rsidR="00B215C9" w:rsidRPr="003D1CCB">
          <w:rPr>
            <w:rStyle w:val="Hyperlink"/>
            <w:sz w:val="24"/>
            <w:szCs w:val="24"/>
          </w:rPr>
          <w:t>guidance</w:t>
        </w:r>
      </w:hyperlink>
      <w:r w:rsidR="00B215C9" w:rsidRPr="003D1CCB">
        <w:rPr>
          <w:sz w:val="24"/>
          <w:szCs w:val="24"/>
        </w:rPr>
        <w:t xml:space="preserve"> and the </w:t>
      </w:r>
      <w:r w:rsidR="00824B24" w:rsidRPr="003D1CCB">
        <w:rPr>
          <w:sz w:val="24"/>
          <w:szCs w:val="24"/>
        </w:rPr>
        <w:t xml:space="preserve">(3) </w:t>
      </w:r>
      <w:hyperlink r:id="rId9" w:history="1">
        <w:r w:rsidR="00B215C9" w:rsidRPr="003D1CCB">
          <w:rPr>
            <w:rStyle w:val="Hyperlink"/>
            <w:sz w:val="24"/>
            <w:szCs w:val="24"/>
          </w:rPr>
          <w:t>assessment criteria</w:t>
        </w:r>
      </w:hyperlink>
      <w:r w:rsidR="00B215C9" w:rsidRPr="003D1CCB">
        <w:rPr>
          <w:sz w:val="24"/>
          <w:szCs w:val="24"/>
        </w:rPr>
        <w:t xml:space="preserve"> developed by the CSH SusQI Education project based on the SQUIRE reporting guidelines. </w:t>
      </w:r>
      <w:r w:rsidR="003D1CCB">
        <w:rPr>
          <w:sz w:val="24"/>
          <w:szCs w:val="24"/>
        </w:rPr>
        <w:t xml:space="preserve"> The ‘tips for your workshop’ section helps ensure that you have everything you need for your </w:t>
      </w:r>
      <w:proofErr w:type="spellStart"/>
      <w:r w:rsidR="003D1CCB">
        <w:rPr>
          <w:sz w:val="24"/>
          <w:szCs w:val="24"/>
        </w:rPr>
        <w:t>SusQI</w:t>
      </w:r>
      <w:proofErr w:type="spellEnd"/>
      <w:r w:rsidR="003D1CCB">
        <w:rPr>
          <w:sz w:val="24"/>
          <w:szCs w:val="24"/>
        </w:rPr>
        <w:t xml:space="preserve"> teaching session.</w:t>
      </w:r>
    </w:p>
    <w:p w14:paraId="06C11FE6" w14:textId="00972B8D" w:rsidR="00396A9A" w:rsidRPr="00396A9A" w:rsidRDefault="00396A9A">
      <w:pPr>
        <w:rPr>
          <w:i/>
          <w:iCs/>
          <w:sz w:val="24"/>
          <w:szCs w:val="24"/>
        </w:rPr>
      </w:pPr>
    </w:p>
    <w:p w14:paraId="6250A97D" w14:textId="0EC9CCE2" w:rsidR="00BB131E" w:rsidRPr="0099638F" w:rsidRDefault="00406E07">
      <w:pPr>
        <w:rPr>
          <w:color w:val="0070C0"/>
          <w:sz w:val="32"/>
          <w:szCs w:val="32"/>
          <w:u w:val="single"/>
        </w:rPr>
      </w:pPr>
      <w:r w:rsidRPr="0099638F">
        <w:rPr>
          <w:color w:val="0070C0"/>
          <w:sz w:val="32"/>
          <w:szCs w:val="32"/>
          <w:u w:val="single"/>
        </w:rPr>
        <w:t xml:space="preserve">SusQI </w:t>
      </w:r>
      <w:r w:rsidR="00796EC6">
        <w:rPr>
          <w:color w:val="0070C0"/>
          <w:sz w:val="32"/>
          <w:szCs w:val="32"/>
          <w:u w:val="single"/>
        </w:rPr>
        <w:t>K</w:t>
      </w:r>
      <w:r w:rsidR="00BB131E" w:rsidRPr="0099638F">
        <w:rPr>
          <w:color w:val="0070C0"/>
          <w:sz w:val="32"/>
          <w:szCs w:val="32"/>
          <w:u w:val="single"/>
        </w:rPr>
        <w:t xml:space="preserve">nowledge </w:t>
      </w:r>
    </w:p>
    <w:p w14:paraId="3BF4F36C" w14:textId="3D7AD109" w:rsidR="0055037F" w:rsidRPr="00875033" w:rsidRDefault="0055037F">
      <w:pPr>
        <w:rPr>
          <w:sz w:val="24"/>
          <w:szCs w:val="24"/>
        </w:rPr>
      </w:pPr>
      <w:r w:rsidRPr="00875033">
        <w:rPr>
          <w:sz w:val="24"/>
          <w:szCs w:val="24"/>
        </w:rPr>
        <w:t xml:space="preserve">It is important to be </w:t>
      </w:r>
      <w:r w:rsidR="00796EC6">
        <w:rPr>
          <w:sz w:val="24"/>
          <w:szCs w:val="24"/>
        </w:rPr>
        <w:t>very comfortable with sustainable quality improvement</w:t>
      </w:r>
      <w:r w:rsidRPr="00875033">
        <w:rPr>
          <w:sz w:val="24"/>
          <w:szCs w:val="24"/>
        </w:rPr>
        <w:t xml:space="preserve"> concepts and principles</w:t>
      </w:r>
      <w:r w:rsidR="00CF3B23">
        <w:rPr>
          <w:sz w:val="24"/>
          <w:szCs w:val="24"/>
        </w:rPr>
        <w:t>.</w:t>
      </w:r>
      <w:r w:rsidR="00875033">
        <w:rPr>
          <w:sz w:val="24"/>
          <w:szCs w:val="24"/>
        </w:rPr>
        <w:t xml:space="preserve"> </w:t>
      </w:r>
      <w:r w:rsidRPr="00875033">
        <w:rPr>
          <w:sz w:val="24"/>
          <w:szCs w:val="24"/>
        </w:rPr>
        <w:t xml:space="preserve">Use this checklist to identify </w:t>
      </w:r>
      <w:r w:rsidR="00875033">
        <w:rPr>
          <w:sz w:val="24"/>
          <w:szCs w:val="24"/>
        </w:rPr>
        <w:t xml:space="preserve">areas you already feel confident to teach, and areas where you might need to revisit your learning. </w:t>
      </w:r>
      <w:r w:rsidR="00331F8D" w:rsidRPr="0099638F">
        <w:rPr>
          <w:sz w:val="24"/>
          <w:szCs w:val="24"/>
        </w:rPr>
        <w:t xml:space="preserve">For each domain, you should </w:t>
      </w:r>
      <w:r w:rsidR="003D1CCB">
        <w:rPr>
          <w:sz w:val="24"/>
          <w:szCs w:val="24"/>
        </w:rPr>
        <w:t>work toward</w:t>
      </w:r>
      <w:r w:rsidR="00331F8D" w:rsidRPr="0099638F">
        <w:rPr>
          <w:sz w:val="24"/>
          <w:szCs w:val="24"/>
        </w:rPr>
        <w:t xml:space="preserve"> the ‘I feel confident to teach this to others’ box. This means that you understand it yourself, and feel </w:t>
      </w:r>
      <w:r w:rsidR="003D1CCB">
        <w:rPr>
          <w:sz w:val="24"/>
          <w:szCs w:val="24"/>
        </w:rPr>
        <w:t>able</w:t>
      </w:r>
      <w:r w:rsidR="003D1CCB" w:rsidRPr="0099638F">
        <w:rPr>
          <w:sz w:val="24"/>
          <w:szCs w:val="24"/>
        </w:rPr>
        <w:t xml:space="preserve"> </w:t>
      </w:r>
      <w:r w:rsidR="00331F8D" w:rsidRPr="0099638F">
        <w:rPr>
          <w:sz w:val="24"/>
          <w:szCs w:val="24"/>
        </w:rPr>
        <w:t xml:space="preserve">to explain this to other healthcare professionals regardless of their area of work or background in sustainability, QI or SusQI.  </w:t>
      </w:r>
    </w:p>
    <w:tbl>
      <w:tblPr>
        <w:tblStyle w:val="TableGrid"/>
        <w:tblW w:w="14596" w:type="dxa"/>
        <w:tblLook w:val="04A0" w:firstRow="1" w:lastRow="0" w:firstColumn="1" w:lastColumn="0" w:noHBand="0" w:noVBand="1"/>
      </w:tblPr>
      <w:tblGrid>
        <w:gridCol w:w="2271"/>
        <w:gridCol w:w="4185"/>
        <w:gridCol w:w="2470"/>
        <w:gridCol w:w="2409"/>
        <w:gridCol w:w="3261"/>
      </w:tblGrid>
      <w:tr w:rsidR="00F47152" w14:paraId="503FB15D" w14:textId="2EC56390" w:rsidTr="00364BFE">
        <w:tc>
          <w:tcPr>
            <w:tcW w:w="6456" w:type="dxa"/>
            <w:gridSpan w:val="2"/>
            <w:shd w:val="clear" w:color="auto" w:fill="FFD966" w:themeFill="accent4" w:themeFillTint="99"/>
          </w:tcPr>
          <w:p w14:paraId="36947C16" w14:textId="55F2C8C2" w:rsidR="00F47152" w:rsidRPr="00C4499A" w:rsidRDefault="00F4715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SusQI knowledge: background, principles and concepts</w:t>
            </w:r>
          </w:p>
        </w:tc>
        <w:tc>
          <w:tcPr>
            <w:tcW w:w="2470" w:type="dxa"/>
            <w:shd w:val="clear" w:color="auto" w:fill="FFD966" w:themeFill="accent4" w:themeFillTint="99"/>
          </w:tcPr>
          <w:p w14:paraId="5829B7C7" w14:textId="5CDD2545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feel confident to teach this to others</w:t>
            </w:r>
          </w:p>
        </w:tc>
        <w:tc>
          <w:tcPr>
            <w:tcW w:w="2409" w:type="dxa"/>
            <w:shd w:val="clear" w:color="auto" w:fill="FFD966" w:themeFill="accent4" w:themeFillTint="99"/>
          </w:tcPr>
          <w:p w14:paraId="4BF8A6C1" w14:textId="3ADB5C1F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understand this, but do not yet feel confident to teach others</w:t>
            </w:r>
          </w:p>
        </w:tc>
        <w:tc>
          <w:tcPr>
            <w:tcW w:w="3261" w:type="dxa"/>
            <w:shd w:val="clear" w:color="auto" w:fill="FFD966" w:themeFill="accent4" w:themeFillTint="99"/>
          </w:tcPr>
          <w:p w14:paraId="68020DB3" w14:textId="113E93C6" w:rsidR="00F47152" w:rsidRPr="00C4499A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need to revisit this learning before teaching others</w:t>
            </w:r>
          </w:p>
        </w:tc>
      </w:tr>
      <w:tr w:rsidR="00F47152" w14:paraId="03A1C79D" w14:textId="77777777" w:rsidTr="00F47152">
        <w:tc>
          <w:tcPr>
            <w:tcW w:w="6456" w:type="dxa"/>
            <w:gridSpan w:val="2"/>
          </w:tcPr>
          <w:p w14:paraId="140486C6" w14:textId="1576CFF8" w:rsidR="00F47152" w:rsidRPr="004F47D4" w:rsidRDefault="00F47152" w:rsidP="004F47D4">
            <w:pPr>
              <w:rPr>
                <w:sz w:val="24"/>
                <w:szCs w:val="24"/>
              </w:rPr>
            </w:pPr>
            <w:r w:rsidRPr="004F47D4">
              <w:rPr>
                <w:sz w:val="24"/>
                <w:szCs w:val="24"/>
              </w:rPr>
              <w:t>Sustainability in the wider context, including UN climate change goals (</w:t>
            </w:r>
            <w:proofErr w:type="gramStart"/>
            <w:r w:rsidRPr="004F47D4">
              <w:rPr>
                <w:sz w:val="24"/>
                <w:szCs w:val="24"/>
              </w:rPr>
              <w:t>e</w:t>
            </w:r>
            <w:r w:rsidR="00CF3B23">
              <w:rPr>
                <w:sz w:val="24"/>
                <w:szCs w:val="24"/>
              </w:rPr>
              <w:t>.</w:t>
            </w:r>
            <w:r w:rsidRPr="004F47D4">
              <w:rPr>
                <w:sz w:val="24"/>
                <w:szCs w:val="24"/>
              </w:rPr>
              <w:t>g.</w:t>
            </w:r>
            <w:proofErr w:type="gramEnd"/>
            <w:r w:rsidRPr="004F47D4">
              <w:rPr>
                <w:sz w:val="24"/>
                <w:szCs w:val="24"/>
              </w:rPr>
              <w:t xml:space="preserve"> Paris Agreement) and NHS Net Zero targets</w:t>
            </w:r>
          </w:p>
        </w:tc>
        <w:tc>
          <w:tcPr>
            <w:tcW w:w="2470" w:type="dxa"/>
          </w:tcPr>
          <w:p w14:paraId="0CB32277" w14:textId="77777777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F5BA9B3" w14:textId="77777777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4F3DDC1D" w14:textId="1D2213BB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7152" w14:paraId="2BBB6769" w14:textId="77777777" w:rsidTr="00F47152">
        <w:tc>
          <w:tcPr>
            <w:tcW w:w="6456" w:type="dxa"/>
            <w:gridSpan w:val="2"/>
          </w:tcPr>
          <w:p w14:paraId="16D3A4A3" w14:textId="70075D25" w:rsidR="00F47152" w:rsidRPr="004F47D4" w:rsidRDefault="00F47152" w:rsidP="004F47D4">
            <w:pPr>
              <w:rPr>
                <w:sz w:val="24"/>
                <w:szCs w:val="24"/>
              </w:rPr>
            </w:pPr>
            <w:r w:rsidRPr="004F47D4">
              <w:rPr>
                <w:sz w:val="24"/>
                <w:szCs w:val="24"/>
              </w:rPr>
              <w:t>The environmental impact of the healthcare system, including carbon hotspots</w:t>
            </w:r>
          </w:p>
        </w:tc>
        <w:tc>
          <w:tcPr>
            <w:tcW w:w="2470" w:type="dxa"/>
          </w:tcPr>
          <w:p w14:paraId="505FB357" w14:textId="77777777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FA54EC1" w14:textId="77777777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26FFE4E" w14:textId="3A8A1DC8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7152" w14:paraId="343D0BE8" w14:textId="77777777" w:rsidTr="00F47152">
        <w:tc>
          <w:tcPr>
            <w:tcW w:w="6456" w:type="dxa"/>
            <w:gridSpan w:val="2"/>
          </w:tcPr>
          <w:p w14:paraId="4B6D448B" w14:textId="1812B59B" w:rsidR="00F47152" w:rsidRPr="004F47D4" w:rsidRDefault="00F47152" w:rsidP="004F47D4">
            <w:pPr>
              <w:rPr>
                <w:sz w:val="24"/>
                <w:szCs w:val="24"/>
              </w:rPr>
            </w:pPr>
            <w:r w:rsidRPr="004F47D4">
              <w:rPr>
                <w:sz w:val="24"/>
                <w:szCs w:val="24"/>
              </w:rPr>
              <w:t>Definition of carbon footprint, including Scopes 1-3</w:t>
            </w:r>
          </w:p>
        </w:tc>
        <w:tc>
          <w:tcPr>
            <w:tcW w:w="2470" w:type="dxa"/>
          </w:tcPr>
          <w:p w14:paraId="39EB5838" w14:textId="77777777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0734D52E" w14:textId="77777777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14A44060" w14:textId="63CB3ECB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7152" w14:paraId="6CB829F7" w14:textId="62A41EB8" w:rsidTr="00F47152">
        <w:tc>
          <w:tcPr>
            <w:tcW w:w="6456" w:type="dxa"/>
            <w:gridSpan w:val="2"/>
          </w:tcPr>
          <w:p w14:paraId="0D979F0F" w14:textId="715156C7" w:rsidR="00F47152" w:rsidRPr="004F47D4" w:rsidRDefault="00F47152" w:rsidP="004F47D4">
            <w:pPr>
              <w:rPr>
                <w:sz w:val="24"/>
                <w:szCs w:val="24"/>
              </w:rPr>
            </w:pPr>
            <w:r w:rsidRPr="004F47D4">
              <w:rPr>
                <w:sz w:val="24"/>
                <w:szCs w:val="24"/>
              </w:rPr>
              <w:t>The definition of sustainability and how it applies to healthcare</w:t>
            </w:r>
          </w:p>
        </w:tc>
        <w:tc>
          <w:tcPr>
            <w:tcW w:w="2470" w:type="dxa"/>
          </w:tcPr>
          <w:p w14:paraId="5D7A4F13" w14:textId="77777777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EB515A6" w14:textId="77777777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0CBDBF12" w14:textId="10E2FA9D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7152" w14:paraId="4A4739AA" w14:textId="79164747" w:rsidTr="00F47152">
        <w:tc>
          <w:tcPr>
            <w:tcW w:w="6456" w:type="dxa"/>
            <w:gridSpan w:val="2"/>
          </w:tcPr>
          <w:p w14:paraId="4D8AA15B" w14:textId="22DF04AF" w:rsidR="00F47152" w:rsidRPr="004F47D4" w:rsidRDefault="00F47152" w:rsidP="004F47D4">
            <w:pPr>
              <w:rPr>
                <w:sz w:val="24"/>
                <w:szCs w:val="24"/>
              </w:rPr>
            </w:pPr>
            <w:r w:rsidRPr="004F47D4">
              <w:rPr>
                <w:sz w:val="24"/>
                <w:szCs w:val="24"/>
              </w:rPr>
              <w:lastRenderedPageBreak/>
              <w:t>The four principles of sustainable healthcare including examples of each</w:t>
            </w:r>
          </w:p>
        </w:tc>
        <w:tc>
          <w:tcPr>
            <w:tcW w:w="2470" w:type="dxa"/>
          </w:tcPr>
          <w:p w14:paraId="66E8F897" w14:textId="77777777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5E838D63" w14:textId="77777777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A5CFE8B" w14:textId="340C7F7C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7152" w14:paraId="507BB028" w14:textId="77777777" w:rsidTr="00F47152">
        <w:tc>
          <w:tcPr>
            <w:tcW w:w="6456" w:type="dxa"/>
            <w:gridSpan w:val="2"/>
          </w:tcPr>
          <w:p w14:paraId="166779C5" w14:textId="145A8182" w:rsidR="00F47152" w:rsidRPr="004F47D4" w:rsidRDefault="00F47152" w:rsidP="004F47D4">
            <w:pPr>
              <w:rPr>
                <w:sz w:val="24"/>
                <w:szCs w:val="24"/>
              </w:rPr>
            </w:pPr>
            <w:r w:rsidRPr="004F47D4">
              <w:rPr>
                <w:sz w:val="24"/>
                <w:szCs w:val="24"/>
              </w:rPr>
              <w:t>The triple bottom line including how to apply it to one example</w:t>
            </w:r>
          </w:p>
        </w:tc>
        <w:tc>
          <w:tcPr>
            <w:tcW w:w="2470" w:type="dxa"/>
          </w:tcPr>
          <w:p w14:paraId="1AB72A73" w14:textId="77777777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CB2DDAB" w14:textId="77777777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7FE433DF" w14:textId="77D40AE5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7152" w14:paraId="228976B0" w14:textId="77777777" w:rsidTr="00F47152">
        <w:tc>
          <w:tcPr>
            <w:tcW w:w="6456" w:type="dxa"/>
            <w:gridSpan w:val="2"/>
          </w:tcPr>
          <w:p w14:paraId="5F3DE757" w14:textId="5B7A61F8" w:rsidR="00F47152" w:rsidRPr="004F47D4" w:rsidRDefault="00F47152" w:rsidP="004F47D4">
            <w:pPr>
              <w:rPr>
                <w:sz w:val="24"/>
                <w:szCs w:val="24"/>
              </w:rPr>
            </w:pPr>
            <w:r w:rsidRPr="004F47D4">
              <w:rPr>
                <w:sz w:val="24"/>
                <w:szCs w:val="24"/>
              </w:rPr>
              <w:t>Sustainability as a domain of quality</w:t>
            </w:r>
          </w:p>
        </w:tc>
        <w:tc>
          <w:tcPr>
            <w:tcW w:w="2470" w:type="dxa"/>
          </w:tcPr>
          <w:p w14:paraId="64E0D569" w14:textId="77777777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21A123C1" w14:textId="77777777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20681110" w14:textId="14EEA0F2" w:rsidR="00F47152" w:rsidRDefault="00F47152" w:rsidP="0087503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F47152" w14:paraId="2CEFC433" w14:textId="6F5D66FD" w:rsidTr="00F47152">
        <w:tc>
          <w:tcPr>
            <w:tcW w:w="6456" w:type="dxa"/>
            <w:gridSpan w:val="2"/>
          </w:tcPr>
          <w:p w14:paraId="36842F80" w14:textId="178E7B91" w:rsidR="00F47152" w:rsidRPr="004F47D4" w:rsidRDefault="00F47152" w:rsidP="004F47D4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4F47D4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The four steps of the QI framework, including examples of how sustainability adds value at each step </w:t>
            </w:r>
          </w:p>
        </w:tc>
        <w:tc>
          <w:tcPr>
            <w:tcW w:w="2470" w:type="dxa"/>
          </w:tcPr>
          <w:p w14:paraId="11852D2E" w14:textId="77777777" w:rsidR="00F47152" w:rsidRPr="00A72E3B" w:rsidRDefault="00F47152" w:rsidP="004E06A2">
            <w:pPr>
              <w:pStyle w:val="ListParagraph"/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409" w:type="dxa"/>
          </w:tcPr>
          <w:p w14:paraId="2692FE5A" w14:textId="77777777" w:rsidR="00F47152" w:rsidRPr="00A72E3B" w:rsidRDefault="00F47152" w:rsidP="004E06A2">
            <w:pPr>
              <w:pStyle w:val="ListParagraph"/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3261" w:type="dxa"/>
          </w:tcPr>
          <w:p w14:paraId="4042DA0E" w14:textId="3DE573A9" w:rsidR="00F47152" w:rsidRPr="00A72E3B" w:rsidRDefault="00F47152" w:rsidP="004E06A2">
            <w:pPr>
              <w:pStyle w:val="ListParagraph"/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F47152" w14:paraId="5F656442" w14:textId="77777777" w:rsidTr="00F47152">
        <w:tc>
          <w:tcPr>
            <w:tcW w:w="6456" w:type="dxa"/>
            <w:gridSpan w:val="2"/>
          </w:tcPr>
          <w:p w14:paraId="1BB34A9A" w14:textId="07CB7028" w:rsidR="00F47152" w:rsidRPr="004F47D4" w:rsidRDefault="00F47152" w:rsidP="004F47D4">
            <w:pPr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  <w:r w:rsidRPr="004F47D4"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  <w:t>SusQI in practice: real case studies</w:t>
            </w:r>
          </w:p>
        </w:tc>
        <w:tc>
          <w:tcPr>
            <w:tcW w:w="2470" w:type="dxa"/>
          </w:tcPr>
          <w:p w14:paraId="4841B2DD" w14:textId="77777777" w:rsidR="00F47152" w:rsidRPr="00A72E3B" w:rsidRDefault="00F47152" w:rsidP="004E06A2">
            <w:pPr>
              <w:pStyle w:val="ListParagraph"/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2409" w:type="dxa"/>
          </w:tcPr>
          <w:p w14:paraId="296C7339" w14:textId="77777777" w:rsidR="00F47152" w:rsidRPr="00A72E3B" w:rsidRDefault="00F47152" w:rsidP="004E06A2">
            <w:pPr>
              <w:pStyle w:val="ListParagraph"/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  <w:tc>
          <w:tcPr>
            <w:tcW w:w="3261" w:type="dxa"/>
          </w:tcPr>
          <w:p w14:paraId="1B77959D" w14:textId="70348202" w:rsidR="00F47152" w:rsidRPr="00A72E3B" w:rsidRDefault="00F47152" w:rsidP="004E06A2">
            <w:pPr>
              <w:pStyle w:val="ListParagraph"/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F47152" w14:paraId="0F6A69EB" w14:textId="77777777" w:rsidTr="00F47152">
        <w:trPr>
          <w:gridAfter w:val="4"/>
          <w:wAfter w:w="12325" w:type="dxa"/>
        </w:trPr>
        <w:tc>
          <w:tcPr>
            <w:tcW w:w="2271" w:type="dxa"/>
          </w:tcPr>
          <w:p w14:paraId="02E36A80" w14:textId="77777777" w:rsidR="00F47152" w:rsidRPr="00A72E3B" w:rsidRDefault="00F47152" w:rsidP="004E06A2">
            <w:pPr>
              <w:pStyle w:val="ListParagraph"/>
              <w:shd w:val="clear" w:color="auto" w:fill="FFFFFF"/>
              <w:textAlignment w:val="baseline"/>
              <w:rPr>
                <w:rFonts w:ascii="Calibri" w:eastAsia="Times New Roman" w:hAnsi="Calibri" w:cs="Calibri"/>
                <w:color w:val="000000"/>
                <w:sz w:val="24"/>
                <w:szCs w:val="24"/>
                <w:bdr w:val="none" w:sz="0" w:space="0" w:color="auto" w:frame="1"/>
                <w:lang w:eastAsia="en-GB"/>
              </w:rPr>
            </w:pPr>
          </w:p>
        </w:tc>
      </w:tr>
      <w:tr w:rsidR="00F47152" w14:paraId="3BA12C12" w14:textId="095CA8CE" w:rsidTr="00364BFE">
        <w:tc>
          <w:tcPr>
            <w:tcW w:w="6456" w:type="dxa"/>
            <w:gridSpan w:val="2"/>
            <w:shd w:val="clear" w:color="auto" w:fill="FFD966" w:themeFill="accent4" w:themeFillTint="99"/>
          </w:tcPr>
          <w:p w14:paraId="0546B00C" w14:textId="661B137D" w:rsidR="00F47152" w:rsidRPr="00C4499A" w:rsidRDefault="00F47152" w:rsidP="004E06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SusQI knowledge: skills needed for SusQI steps</w:t>
            </w:r>
          </w:p>
        </w:tc>
        <w:tc>
          <w:tcPr>
            <w:tcW w:w="2470" w:type="dxa"/>
            <w:shd w:val="clear" w:color="auto" w:fill="FFD966" w:themeFill="accent4" w:themeFillTint="99"/>
          </w:tcPr>
          <w:p w14:paraId="0303F3A9" w14:textId="27A6B1C2" w:rsidR="00F47152" w:rsidRDefault="00F47152" w:rsidP="004E06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feel confident to teach this to others</w:t>
            </w:r>
          </w:p>
        </w:tc>
        <w:tc>
          <w:tcPr>
            <w:tcW w:w="2409" w:type="dxa"/>
            <w:shd w:val="clear" w:color="auto" w:fill="FFD966" w:themeFill="accent4" w:themeFillTint="99"/>
          </w:tcPr>
          <w:p w14:paraId="71BAF6F5" w14:textId="33214E5B" w:rsidR="00F47152" w:rsidRDefault="00F47152" w:rsidP="004E06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understand this, but do not yet feel confident to teach others</w:t>
            </w:r>
          </w:p>
        </w:tc>
        <w:tc>
          <w:tcPr>
            <w:tcW w:w="3261" w:type="dxa"/>
            <w:shd w:val="clear" w:color="auto" w:fill="FFD966" w:themeFill="accent4" w:themeFillTint="99"/>
          </w:tcPr>
          <w:p w14:paraId="1F384FE8" w14:textId="7339CB27" w:rsidR="00F47152" w:rsidRPr="00C4499A" w:rsidRDefault="00F47152" w:rsidP="004E06A2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need to revisit this learning before teaching others</w:t>
            </w:r>
          </w:p>
        </w:tc>
      </w:tr>
      <w:tr w:rsidR="00F47152" w14:paraId="0D0E70C0" w14:textId="77777777" w:rsidTr="00F47152">
        <w:tc>
          <w:tcPr>
            <w:tcW w:w="6456" w:type="dxa"/>
            <w:gridSpan w:val="2"/>
          </w:tcPr>
          <w:p w14:paraId="0BF8B9DF" w14:textId="20C6A899" w:rsidR="00F47152" w:rsidRPr="00EE6EB7" w:rsidRDefault="00F47152" w:rsidP="004F47D4">
            <w:pPr>
              <w:rPr>
                <w:sz w:val="24"/>
                <w:szCs w:val="24"/>
              </w:rPr>
            </w:pPr>
            <w:r w:rsidRPr="004F47D4">
              <w:rPr>
                <w:sz w:val="24"/>
                <w:szCs w:val="24"/>
              </w:rPr>
              <w:t>Setting Goals</w:t>
            </w:r>
            <w:r>
              <w:rPr>
                <w:sz w:val="24"/>
                <w:szCs w:val="24"/>
              </w:rPr>
              <w:t>: identification and definition of a problem (</w:t>
            </w:r>
            <w:proofErr w:type="spellStart"/>
            <w:r>
              <w:rPr>
                <w:sz w:val="24"/>
                <w:szCs w:val="24"/>
              </w:rPr>
              <w:t>eg.</w:t>
            </w:r>
            <w:proofErr w:type="spellEnd"/>
            <w:r>
              <w:rPr>
                <w:sz w:val="24"/>
                <w:szCs w:val="24"/>
              </w:rPr>
              <w:t xml:space="preserve"> ABCD approach)</w:t>
            </w:r>
          </w:p>
        </w:tc>
        <w:tc>
          <w:tcPr>
            <w:tcW w:w="2470" w:type="dxa"/>
          </w:tcPr>
          <w:p w14:paraId="5FFF4613" w14:textId="77777777" w:rsidR="00F47152" w:rsidRDefault="00F47152" w:rsidP="004E06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D4A550" w14:textId="77777777" w:rsidR="00F47152" w:rsidRDefault="00F47152" w:rsidP="004E06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5F302B3B" w14:textId="2CA101F3" w:rsidR="00F47152" w:rsidRDefault="00F47152" w:rsidP="004E06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7152" w14:paraId="273F194A" w14:textId="77777777" w:rsidTr="00F47152">
        <w:tc>
          <w:tcPr>
            <w:tcW w:w="6456" w:type="dxa"/>
            <w:gridSpan w:val="2"/>
          </w:tcPr>
          <w:p w14:paraId="30B7C723" w14:textId="77777777" w:rsidR="00F47152" w:rsidRPr="004F47D4" w:rsidRDefault="00F47152" w:rsidP="004F47D4">
            <w:pPr>
              <w:rPr>
                <w:sz w:val="24"/>
                <w:szCs w:val="24"/>
              </w:rPr>
            </w:pPr>
            <w:r w:rsidRPr="004F47D4">
              <w:rPr>
                <w:sz w:val="24"/>
                <w:szCs w:val="24"/>
              </w:rPr>
              <w:t xml:space="preserve">Studying the System </w:t>
            </w:r>
          </w:p>
          <w:p w14:paraId="30AA832D" w14:textId="77777777" w:rsidR="00F47152" w:rsidRDefault="00F47152" w:rsidP="004F47D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process map in SusQI: identifying social, environmental and financial resource use in a pathway</w:t>
            </w:r>
          </w:p>
          <w:p w14:paraId="293AC063" w14:textId="615341E3" w:rsidR="00F47152" w:rsidRDefault="00F47152" w:rsidP="004F47D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Conducting a calculation of a simple carbon footprint, including how to collect and identify data (</w:t>
            </w:r>
            <w:proofErr w:type="spellStart"/>
            <w:r>
              <w:rPr>
                <w:sz w:val="24"/>
                <w:szCs w:val="24"/>
              </w:rPr>
              <w:t>eg.</w:t>
            </w:r>
            <w:proofErr w:type="spellEnd"/>
            <w:r>
              <w:rPr>
                <w:sz w:val="24"/>
                <w:szCs w:val="24"/>
              </w:rPr>
              <w:t xml:space="preserve"> carbon emissions, units of healthcare activity)</w:t>
            </w:r>
          </w:p>
          <w:p w14:paraId="25E4AFF2" w14:textId="45CBE0EC" w:rsidR="00F47152" w:rsidRDefault="00F47152" w:rsidP="004F47D4">
            <w:pPr>
              <w:pStyle w:val="ListParagraph"/>
              <w:numPr>
                <w:ilvl w:val="0"/>
                <w:numId w:val="16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Identifying the social impacts of a process of pathway on patients &amp; their relatives, staff, the wider community and vulnerable groups</w:t>
            </w:r>
          </w:p>
        </w:tc>
        <w:tc>
          <w:tcPr>
            <w:tcW w:w="2470" w:type="dxa"/>
          </w:tcPr>
          <w:p w14:paraId="513E8DFC" w14:textId="77777777" w:rsidR="00F47152" w:rsidRDefault="00F47152" w:rsidP="004E06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11835D4F" w14:textId="77777777" w:rsidR="00F47152" w:rsidRDefault="00F47152" w:rsidP="004E06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7D9E9CA" w14:textId="73D6C653" w:rsidR="00F47152" w:rsidRDefault="00F47152" w:rsidP="004E06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7152" w14:paraId="7D180896" w14:textId="77777777" w:rsidTr="00F47152">
        <w:tc>
          <w:tcPr>
            <w:tcW w:w="6456" w:type="dxa"/>
            <w:gridSpan w:val="2"/>
          </w:tcPr>
          <w:p w14:paraId="0E95EB80" w14:textId="77777777" w:rsidR="00F47152" w:rsidRPr="004F47D4" w:rsidRDefault="00F47152" w:rsidP="004F47D4">
            <w:pPr>
              <w:rPr>
                <w:sz w:val="24"/>
                <w:szCs w:val="24"/>
              </w:rPr>
            </w:pPr>
            <w:r w:rsidRPr="004F47D4">
              <w:rPr>
                <w:sz w:val="24"/>
                <w:szCs w:val="24"/>
              </w:rPr>
              <w:t xml:space="preserve">Design the Improvement </w:t>
            </w:r>
          </w:p>
          <w:p w14:paraId="1843B070" w14:textId="6592629C" w:rsidR="00F47152" w:rsidRPr="004F47D4" w:rsidRDefault="00F47152" w:rsidP="004F47D4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 w:rsidRPr="004F47D4">
              <w:rPr>
                <w:sz w:val="24"/>
                <w:szCs w:val="24"/>
              </w:rPr>
              <w:t xml:space="preserve">Methods for generating ideas for improvement, including the driver diagram of the principles of sustainable healthcare </w:t>
            </w:r>
          </w:p>
          <w:p w14:paraId="78352752" w14:textId="76F8DE58" w:rsidR="00F47152" w:rsidRPr="004F47D4" w:rsidRDefault="00F47152" w:rsidP="004F47D4">
            <w:pPr>
              <w:pStyle w:val="ListParagraph"/>
              <w:numPr>
                <w:ilvl w:val="0"/>
                <w:numId w:val="17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Describing how </w:t>
            </w:r>
            <w:r w:rsidR="005E3310">
              <w:rPr>
                <w:sz w:val="24"/>
                <w:szCs w:val="24"/>
              </w:rPr>
              <w:t xml:space="preserve">addressing </w:t>
            </w:r>
            <w:r>
              <w:rPr>
                <w:sz w:val="24"/>
                <w:szCs w:val="24"/>
              </w:rPr>
              <w:t>various</w:t>
            </w:r>
            <w:r w:rsidRPr="004F47D4">
              <w:rPr>
                <w:sz w:val="24"/>
                <w:szCs w:val="24"/>
              </w:rPr>
              <w:t xml:space="preserve"> social determinants of health </w:t>
            </w:r>
            <w:r w:rsidR="005E3310">
              <w:rPr>
                <w:sz w:val="24"/>
                <w:szCs w:val="24"/>
              </w:rPr>
              <w:t xml:space="preserve">can </w:t>
            </w:r>
            <w:r w:rsidRPr="004F47D4">
              <w:rPr>
                <w:sz w:val="24"/>
                <w:szCs w:val="24"/>
              </w:rPr>
              <w:t>generat</w:t>
            </w:r>
            <w:r>
              <w:rPr>
                <w:sz w:val="24"/>
                <w:szCs w:val="24"/>
              </w:rPr>
              <w:t>e</w:t>
            </w:r>
            <w:r w:rsidRPr="004F47D4">
              <w:rPr>
                <w:sz w:val="24"/>
                <w:szCs w:val="24"/>
              </w:rPr>
              <w:t xml:space="preserve"> a high-impact intervention</w:t>
            </w:r>
          </w:p>
        </w:tc>
        <w:tc>
          <w:tcPr>
            <w:tcW w:w="2470" w:type="dxa"/>
          </w:tcPr>
          <w:p w14:paraId="2A3278BD" w14:textId="77777777" w:rsidR="00F47152" w:rsidRDefault="00F47152" w:rsidP="004E06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37B0E6BA" w14:textId="77777777" w:rsidR="00F47152" w:rsidRDefault="00F47152" w:rsidP="004E06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6D4EBF8D" w14:textId="779F5C9D" w:rsidR="00F47152" w:rsidRDefault="00F47152" w:rsidP="004E06A2">
            <w:pPr>
              <w:rPr>
                <w:b/>
                <w:bCs/>
                <w:sz w:val="24"/>
                <w:szCs w:val="24"/>
              </w:rPr>
            </w:pPr>
          </w:p>
        </w:tc>
      </w:tr>
      <w:tr w:rsidR="00F47152" w14:paraId="4DD9690B" w14:textId="77777777" w:rsidTr="00F47152">
        <w:tc>
          <w:tcPr>
            <w:tcW w:w="6456" w:type="dxa"/>
            <w:gridSpan w:val="2"/>
          </w:tcPr>
          <w:p w14:paraId="29B7906E" w14:textId="77777777" w:rsidR="00F47152" w:rsidRPr="004F47D4" w:rsidRDefault="00F47152" w:rsidP="004F47D4">
            <w:pPr>
              <w:rPr>
                <w:sz w:val="24"/>
                <w:szCs w:val="24"/>
              </w:rPr>
            </w:pPr>
            <w:r w:rsidRPr="004F47D4">
              <w:rPr>
                <w:sz w:val="24"/>
                <w:szCs w:val="24"/>
              </w:rPr>
              <w:lastRenderedPageBreak/>
              <w:t xml:space="preserve">Measuring impact </w:t>
            </w:r>
          </w:p>
          <w:p w14:paraId="2089639D" w14:textId="13E9A154" w:rsidR="00F47152" w:rsidRPr="004F47D4" w:rsidRDefault="00F47152" w:rsidP="004F47D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F47D4">
              <w:rPr>
                <w:sz w:val="24"/>
                <w:szCs w:val="24"/>
              </w:rPr>
              <w:t>Approach to collecting baseline and post-intervention data for social, environmental and financial outcomes</w:t>
            </w:r>
          </w:p>
          <w:p w14:paraId="6E35AE68" w14:textId="50261CB0" w:rsidR="00F47152" w:rsidRPr="004F47D4" w:rsidRDefault="00F47152" w:rsidP="004F47D4">
            <w:pPr>
              <w:pStyle w:val="ListParagraph"/>
              <w:numPr>
                <w:ilvl w:val="0"/>
                <w:numId w:val="18"/>
              </w:numPr>
              <w:rPr>
                <w:sz w:val="24"/>
                <w:szCs w:val="24"/>
              </w:rPr>
            </w:pPr>
            <w:r w:rsidRPr="004F47D4">
              <w:rPr>
                <w:sz w:val="24"/>
                <w:szCs w:val="24"/>
              </w:rPr>
              <w:t>Us</w:t>
            </w:r>
            <w:r>
              <w:rPr>
                <w:sz w:val="24"/>
                <w:szCs w:val="24"/>
              </w:rPr>
              <w:t>e</w:t>
            </w:r>
            <w:r w:rsidRPr="004F47D4">
              <w:rPr>
                <w:sz w:val="24"/>
                <w:szCs w:val="24"/>
              </w:rPr>
              <w:t xml:space="preserve"> the triple bottom line to summarise or present intervention outcomes </w:t>
            </w:r>
          </w:p>
        </w:tc>
        <w:tc>
          <w:tcPr>
            <w:tcW w:w="2470" w:type="dxa"/>
          </w:tcPr>
          <w:p w14:paraId="1C70B728" w14:textId="77777777" w:rsidR="00F47152" w:rsidRDefault="00F47152" w:rsidP="004E06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409" w:type="dxa"/>
          </w:tcPr>
          <w:p w14:paraId="6EEB7D06" w14:textId="77777777" w:rsidR="00F47152" w:rsidRDefault="00F47152" w:rsidP="004E06A2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261" w:type="dxa"/>
          </w:tcPr>
          <w:p w14:paraId="2B2F383F" w14:textId="1890326F" w:rsidR="00F47152" w:rsidRDefault="00F47152" w:rsidP="004E06A2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25CE8E2A" w14:textId="77777777" w:rsidR="004E06A2" w:rsidRDefault="004E06A2">
      <w:pPr>
        <w:rPr>
          <w:sz w:val="28"/>
          <w:szCs w:val="28"/>
        </w:rPr>
      </w:pPr>
    </w:p>
    <w:p w14:paraId="5D529DB9" w14:textId="245C2F00" w:rsidR="00403836" w:rsidRPr="00F47152" w:rsidRDefault="00403836">
      <w:pPr>
        <w:rPr>
          <w:sz w:val="28"/>
          <w:szCs w:val="28"/>
        </w:rPr>
      </w:pPr>
      <w:r>
        <w:rPr>
          <w:sz w:val="28"/>
          <w:szCs w:val="28"/>
        </w:rPr>
        <w:t xml:space="preserve">If you have answered </w:t>
      </w:r>
      <w:r w:rsidRPr="00331F8D">
        <w:rPr>
          <w:b/>
          <w:bCs/>
          <w:sz w:val="28"/>
          <w:szCs w:val="28"/>
        </w:rPr>
        <w:t>“I understand this, but do not yet feel confident to teach others”</w:t>
      </w:r>
      <w:r w:rsidRPr="00403836">
        <w:rPr>
          <w:sz w:val="28"/>
          <w:szCs w:val="28"/>
        </w:rPr>
        <w:t xml:space="preserve"> </w:t>
      </w:r>
      <w:r w:rsidR="00331F8D">
        <w:rPr>
          <w:sz w:val="28"/>
          <w:szCs w:val="28"/>
        </w:rPr>
        <w:t xml:space="preserve">OR </w:t>
      </w:r>
      <w:r w:rsidR="00331F8D" w:rsidRPr="00331F8D">
        <w:rPr>
          <w:b/>
          <w:bCs/>
          <w:sz w:val="28"/>
          <w:szCs w:val="28"/>
        </w:rPr>
        <w:t xml:space="preserve">“I need to revisit this learning </w:t>
      </w:r>
      <w:r w:rsidR="00331F8D" w:rsidRPr="00F47152">
        <w:rPr>
          <w:b/>
          <w:bCs/>
          <w:sz w:val="28"/>
          <w:szCs w:val="28"/>
        </w:rPr>
        <w:t>before teaching others”</w:t>
      </w:r>
      <w:r w:rsidR="00331F8D" w:rsidRPr="00F47152">
        <w:rPr>
          <w:sz w:val="28"/>
          <w:szCs w:val="28"/>
        </w:rPr>
        <w:t xml:space="preserve"> </w:t>
      </w:r>
      <w:r w:rsidRPr="00F47152">
        <w:rPr>
          <w:sz w:val="28"/>
          <w:szCs w:val="28"/>
        </w:rPr>
        <w:t xml:space="preserve">for any of the above: </w:t>
      </w:r>
      <w:r w:rsidR="00331F8D" w:rsidRPr="00F47152">
        <w:rPr>
          <w:sz w:val="28"/>
          <w:szCs w:val="28"/>
        </w:rPr>
        <w:t xml:space="preserve"> </w:t>
      </w:r>
    </w:p>
    <w:p w14:paraId="55EB8608" w14:textId="4AD0EE2E" w:rsidR="00331F8D" w:rsidRPr="00E309E8" w:rsidRDefault="00331F8D" w:rsidP="00331F8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47152">
        <w:rPr>
          <w:sz w:val="28"/>
          <w:szCs w:val="28"/>
        </w:rPr>
        <w:t xml:space="preserve">Re-visit the online </w:t>
      </w:r>
      <w:proofErr w:type="spellStart"/>
      <w:r w:rsidRPr="00F47152">
        <w:rPr>
          <w:sz w:val="28"/>
          <w:szCs w:val="28"/>
        </w:rPr>
        <w:t>SusQI</w:t>
      </w:r>
      <w:proofErr w:type="spellEnd"/>
      <w:r w:rsidRPr="00F47152">
        <w:rPr>
          <w:sz w:val="28"/>
          <w:szCs w:val="28"/>
        </w:rPr>
        <w:t xml:space="preserve"> course</w:t>
      </w:r>
      <w:r w:rsidR="00EB5EB5" w:rsidRPr="00F47152">
        <w:rPr>
          <w:sz w:val="28"/>
          <w:szCs w:val="28"/>
        </w:rPr>
        <w:t xml:space="preserve"> materials</w:t>
      </w:r>
      <w:r w:rsidRPr="00F47152">
        <w:rPr>
          <w:sz w:val="28"/>
          <w:szCs w:val="28"/>
        </w:rPr>
        <w:t xml:space="preserve"> </w:t>
      </w:r>
    </w:p>
    <w:p w14:paraId="004B0F12" w14:textId="0A82E150" w:rsidR="00331F8D" w:rsidRPr="00F47152" w:rsidRDefault="00331F8D" w:rsidP="00331F8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47152">
        <w:rPr>
          <w:sz w:val="28"/>
          <w:szCs w:val="28"/>
        </w:rPr>
        <w:t xml:space="preserve">Revise notes taken during the SusQI course </w:t>
      </w:r>
    </w:p>
    <w:p w14:paraId="1AF83EE7" w14:textId="2A82A73F" w:rsidR="00331F8D" w:rsidRPr="00F47152" w:rsidRDefault="00331F8D" w:rsidP="00331F8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47152">
        <w:rPr>
          <w:sz w:val="28"/>
          <w:szCs w:val="28"/>
        </w:rPr>
        <w:t xml:space="preserve">Use the ‘step-by-step guide’ and resources on </w:t>
      </w:r>
      <w:r w:rsidR="00EB5EB5" w:rsidRPr="00F47152">
        <w:rPr>
          <w:sz w:val="28"/>
          <w:szCs w:val="28"/>
        </w:rPr>
        <w:t>www.</w:t>
      </w:r>
      <w:r w:rsidRPr="00F47152">
        <w:rPr>
          <w:sz w:val="28"/>
          <w:szCs w:val="28"/>
        </w:rPr>
        <w:t xml:space="preserve">susqi.org </w:t>
      </w:r>
    </w:p>
    <w:p w14:paraId="0DEF395B" w14:textId="09C0947D" w:rsidR="00331F8D" w:rsidRDefault="00331F8D" w:rsidP="00331F8D">
      <w:pPr>
        <w:pStyle w:val="ListParagraph"/>
        <w:numPr>
          <w:ilvl w:val="0"/>
          <w:numId w:val="11"/>
        </w:numPr>
        <w:rPr>
          <w:sz w:val="28"/>
          <w:szCs w:val="28"/>
        </w:rPr>
      </w:pPr>
      <w:r w:rsidRPr="00F47152">
        <w:rPr>
          <w:sz w:val="28"/>
          <w:szCs w:val="28"/>
        </w:rPr>
        <w:t xml:space="preserve">Contact the </w:t>
      </w:r>
      <w:proofErr w:type="spellStart"/>
      <w:r w:rsidRPr="00F47152">
        <w:rPr>
          <w:sz w:val="28"/>
          <w:szCs w:val="28"/>
        </w:rPr>
        <w:t>SusQI</w:t>
      </w:r>
      <w:proofErr w:type="spellEnd"/>
      <w:r w:rsidRPr="00F47152">
        <w:rPr>
          <w:sz w:val="28"/>
          <w:szCs w:val="28"/>
        </w:rPr>
        <w:t xml:space="preserve"> Education team</w:t>
      </w:r>
    </w:p>
    <w:p w14:paraId="3C0D2553" w14:textId="4B48F57A" w:rsidR="00FA405A" w:rsidRPr="00F47152" w:rsidRDefault="00FA405A" w:rsidP="00331F8D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If not already done, book onto the CSH </w:t>
      </w:r>
      <w:proofErr w:type="spellStart"/>
      <w:r>
        <w:rPr>
          <w:sz w:val="28"/>
          <w:szCs w:val="28"/>
        </w:rPr>
        <w:t>SusQI</w:t>
      </w:r>
      <w:proofErr w:type="spellEnd"/>
      <w:r>
        <w:rPr>
          <w:sz w:val="28"/>
          <w:szCs w:val="28"/>
        </w:rPr>
        <w:t xml:space="preserve"> and Teaching </w:t>
      </w:r>
      <w:proofErr w:type="spellStart"/>
      <w:r>
        <w:rPr>
          <w:sz w:val="28"/>
          <w:szCs w:val="28"/>
        </w:rPr>
        <w:t>SusQI</w:t>
      </w:r>
      <w:proofErr w:type="spellEnd"/>
      <w:r>
        <w:rPr>
          <w:sz w:val="28"/>
          <w:szCs w:val="28"/>
        </w:rPr>
        <w:t xml:space="preserve"> courses.</w:t>
      </w:r>
    </w:p>
    <w:p w14:paraId="0CC82A22" w14:textId="77777777" w:rsidR="00403836" w:rsidRDefault="00403836">
      <w:pPr>
        <w:rPr>
          <w:b/>
          <w:bCs/>
          <w:sz w:val="24"/>
          <w:szCs w:val="24"/>
        </w:rPr>
      </w:pPr>
    </w:p>
    <w:p w14:paraId="7FEEA586" w14:textId="25785E32" w:rsidR="00403836" w:rsidRDefault="00403836">
      <w:pPr>
        <w:rPr>
          <w:sz w:val="28"/>
          <w:szCs w:val="28"/>
        </w:rPr>
      </w:pPr>
    </w:p>
    <w:p w14:paraId="16C6EAF6" w14:textId="77777777" w:rsidR="00A43F6E" w:rsidRDefault="00A43F6E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br w:type="page"/>
      </w:r>
    </w:p>
    <w:p w14:paraId="7F0B89C6" w14:textId="09C5DE99" w:rsidR="00BB131E" w:rsidRPr="00660640" w:rsidRDefault="00796EC6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lastRenderedPageBreak/>
        <w:t>Teaching and Learning</w:t>
      </w:r>
      <w:r w:rsidRPr="00364BFE">
        <w:rPr>
          <w:color w:val="4472C4" w:themeColor="accent1"/>
          <w:sz w:val="32"/>
          <w:szCs w:val="32"/>
          <w:u w:val="single"/>
        </w:rPr>
        <w:t xml:space="preserve"> S</w:t>
      </w:r>
      <w:r w:rsidR="00BB131E" w:rsidRPr="00364BFE">
        <w:rPr>
          <w:color w:val="4472C4" w:themeColor="accent1"/>
          <w:sz w:val="32"/>
          <w:szCs w:val="32"/>
          <w:u w:val="single"/>
        </w:rPr>
        <w:t xml:space="preserve">kills </w:t>
      </w:r>
    </w:p>
    <w:p w14:paraId="7F6D5C3C" w14:textId="077BD0BD" w:rsidR="00F134D7" w:rsidRDefault="00EB5EB5" w:rsidP="00F134D7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In order</w:t>
      </w:r>
      <w:r w:rsidR="00B65246">
        <w:rPr>
          <w:sz w:val="24"/>
          <w:szCs w:val="24"/>
        </w:rPr>
        <w:t xml:space="preserve"> to</w:t>
      </w:r>
      <w:proofErr w:type="gramEnd"/>
      <w:r w:rsidR="00B65246">
        <w:rPr>
          <w:sz w:val="24"/>
          <w:szCs w:val="24"/>
        </w:rPr>
        <w:t xml:space="preserve"> lead </w:t>
      </w:r>
      <w:r>
        <w:rPr>
          <w:sz w:val="24"/>
          <w:szCs w:val="24"/>
        </w:rPr>
        <w:t>or</w:t>
      </w:r>
      <w:r w:rsidR="00B65246">
        <w:rPr>
          <w:sz w:val="24"/>
          <w:szCs w:val="24"/>
        </w:rPr>
        <w:t xml:space="preserve"> facilitate a </w:t>
      </w:r>
      <w:proofErr w:type="spellStart"/>
      <w:r w:rsidR="00B65246">
        <w:rPr>
          <w:sz w:val="24"/>
          <w:szCs w:val="24"/>
        </w:rPr>
        <w:t>SusQI</w:t>
      </w:r>
      <w:proofErr w:type="spellEnd"/>
      <w:r>
        <w:rPr>
          <w:sz w:val="24"/>
          <w:szCs w:val="24"/>
        </w:rPr>
        <w:t xml:space="preserve"> </w:t>
      </w:r>
      <w:r w:rsidR="00364BFE">
        <w:rPr>
          <w:sz w:val="24"/>
          <w:szCs w:val="24"/>
        </w:rPr>
        <w:t>workshop, a</w:t>
      </w:r>
      <w:r>
        <w:rPr>
          <w:sz w:val="24"/>
          <w:szCs w:val="24"/>
        </w:rPr>
        <w:t xml:space="preserve"> few</w:t>
      </w:r>
      <w:r w:rsidR="00B65246">
        <w:rPr>
          <w:sz w:val="24"/>
          <w:szCs w:val="24"/>
        </w:rPr>
        <w:t xml:space="preserve"> key </w:t>
      </w:r>
      <w:r w:rsidR="003D1CCB">
        <w:rPr>
          <w:sz w:val="24"/>
          <w:szCs w:val="24"/>
        </w:rPr>
        <w:t>teaching and learning</w:t>
      </w:r>
      <w:r w:rsidR="00B65246">
        <w:rPr>
          <w:sz w:val="24"/>
          <w:szCs w:val="24"/>
        </w:rPr>
        <w:t xml:space="preserve"> skills </w:t>
      </w:r>
      <w:r>
        <w:rPr>
          <w:sz w:val="24"/>
          <w:szCs w:val="24"/>
        </w:rPr>
        <w:t xml:space="preserve">are required.  </w:t>
      </w:r>
      <w:r w:rsidR="00F134D7" w:rsidRPr="00875033">
        <w:rPr>
          <w:sz w:val="24"/>
          <w:szCs w:val="24"/>
        </w:rPr>
        <w:t xml:space="preserve">Use this checklist to identify </w:t>
      </w:r>
      <w:r w:rsidR="00F134D7">
        <w:rPr>
          <w:sz w:val="24"/>
          <w:szCs w:val="24"/>
        </w:rPr>
        <w:t>skills you already feel confident about, and those you would like to improve on.</w:t>
      </w:r>
      <w:r>
        <w:rPr>
          <w:sz w:val="24"/>
          <w:szCs w:val="24"/>
        </w:rPr>
        <w:t xml:space="preserve"> </w:t>
      </w:r>
      <w:r w:rsidR="00F134D7" w:rsidRPr="0099638F">
        <w:rPr>
          <w:sz w:val="24"/>
          <w:szCs w:val="24"/>
        </w:rPr>
        <w:t xml:space="preserve">For each domain, you should </w:t>
      </w:r>
      <w:r>
        <w:rPr>
          <w:sz w:val="24"/>
          <w:szCs w:val="24"/>
        </w:rPr>
        <w:t>work toward</w:t>
      </w:r>
      <w:r w:rsidR="00F134D7" w:rsidRPr="0099638F">
        <w:rPr>
          <w:sz w:val="24"/>
          <w:szCs w:val="24"/>
        </w:rPr>
        <w:t xml:space="preserve"> the ‘I feel </w:t>
      </w:r>
      <w:r w:rsidR="00F134D7">
        <w:rPr>
          <w:sz w:val="24"/>
          <w:szCs w:val="24"/>
        </w:rPr>
        <w:t>confident to do this’</w:t>
      </w:r>
      <w:r w:rsidR="00F134D7" w:rsidRPr="0099638F">
        <w:rPr>
          <w:sz w:val="24"/>
          <w:szCs w:val="24"/>
        </w:rPr>
        <w:t xml:space="preserve"> box. </w:t>
      </w:r>
    </w:p>
    <w:p w14:paraId="2547BFDB" w14:textId="77777777" w:rsidR="00F134D7" w:rsidRDefault="00F134D7">
      <w:pPr>
        <w:rPr>
          <w:sz w:val="24"/>
          <w:szCs w:val="24"/>
        </w:rPr>
      </w:pP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7508"/>
        <w:gridCol w:w="2977"/>
        <w:gridCol w:w="3402"/>
      </w:tblGrid>
      <w:tr w:rsidR="00396A9A" w14:paraId="5ADC02F9" w14:textId="77777777" w:rsidTr="00CC329E">
        <w:tc>
          <w:tcPr>
            <w:tcW w:w="7508" w:type="dxa"/>
            <w:shd w:val="clear" w:color="auto" w:fill="FFD966" w:themeFill="accent4" w:themeFillTint="99"/>
          </w:tcPr>
          <w:p w14:paraId="11D897D0" w14:textId="77777777" w:rsidR="00396A9A" w:rsidRDefault="00396A9A" w:rsidP="00654C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Key skills for facilitating</w:t>
            </w:r>
          </w:p>
          <w:p w14:paraId="30DCE23D" w14:textId="69197CE0" w:rsidR="00E309E8" w:rsidRPr="00C4499A" w:rsidRDefault="00E309E8" w:rsidP="00654C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FFD966" w:themeFill="accent4" w:themeFillTint="99"/>
          </w:tcPr>
          <w:p w14:paraId="24E011DB" w14:textId="2D169B1F" w:rsidR="00396A9A" w:rsidRDefault="00396A9A" w:rsidP="00654C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feel co</w:t>
            </w:r>
            <w:r w:rsidR="00E309E8">
              <w:rPr>
                <w:b/>
                <w:bCs/>
                <w:sz w:val="24"/>
                <w:szCs w:val="24"/>
              </w:rPr>
              <w:t>nfident to do this</w:t>
            </w:r>
          </w:p>
        </w:tc>
        <w:tc>
          <w:tcPr>
            <w:tcW w:w="3402" w:type="dxa"/>
            <w:shd w:val="clear" w:color="auto" w:fill="FFD966" w:themeFill="accent4" w:themeFillTint="99"/>
          </w:tcPr>
          <w:p w14:paraId="4319D447" w14:textId="685392DE" w:rsidR="00396A9A" w:rsidRDefault="00396A9A" w:rsidP="00654C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 need to work on this</w:t>
            </w:r>
          </w:p>
        </w:tc>
      </w:tr>
      <w:tr w:rsidR="00396A9A" w14:paraId="771C2B0F" w14:textId="77777777" w:rsidTr="00396A9A">
        <w:tc>
          <w:tcPr>
            <w:tcW w:w="7508" w:type="dxa"/>
          </w:tcPr>
          <w:p w14:paraId="68DEF4F1" w14:textId="20B2A071" w:rsidR="00396A9A" w:rsidRPr="00A43F6E" w:rsidRDefault="00396A9A" w:rsidP="00A43F6E">
            <w:pPr>
              <w:rPr>
                <w:sz w:val="24"/>
                <w:szCs w:val="24"/>
              </w:rPr>
            </w:pPr>
            <w:r w:rsidRPr="00A43F6E">
              <w:rPr>
                <w:sz w:val="24"/>
                <w:szCs w:val="24"/>
              </w:rPr>
              <w:t>Create a safe learning environment</w:t>
            </w:r>
          </w:p>
        </w:tc>
        <w:tc>
          <w:tcPr>
            <w:tcW w:w="2977" w:type="dxa"/>
          </w:tcPr>
          <w:p w14:paraId="4C67A3B5" w14:textId="77777777" w:rsidR="00396A9A" w:rsidRDefault="00396A9A" w:rsidP="00654C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3F002EA5" w14:textId="77777777" w:rsidR="00396A9A" w:rsidRDefault="00396A9A" w:rsidP="00654C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6A9A" w:rsidRPr="00F134D7" w14:paraId="5F695B98" w14:textId="77777777" w:rsidTr="00396A9A">
        <w:tc>
          <w:tcPr>
            <w:tcW w:w="7508" w:type="dxa"/>
          </w:tcPr>
          <w:p w14:paraId="2F8C6669" w14:textId="3808E7F8" w:rsidR="00396A9A" w:rsidRPr="00A43F6E" w:rsidRDefault="00396A9A" w:rsidP="00A43F6E">
            <w:pPr>
              <w:rPr>
                <w:sz w:val="24"/>
                <w:szCs w:val="24"/>
                <w:lang w:val="fr-FR"/>
              </w:rPr>
            </w:pPr>
            <w:r w:rsidRPr="00A43F6E">
              <w:rPr>
                <w:sz w:val="24"/>
                <w:szCs w:val="24"/>
                <w:lang w:val="fr-FR"/>
              </w:rPr>
              <w:t xml:space="preserve">Encourage active participation and </w:t>
            </w:r>
            <w:proofErr w:type="spellStart"/>
            <w:r w:rsidRPr="00A43F6E">
              <w:rPr>
                <w:sz w:val="24"/>
                <w:szCs w:val="24"/>
                <w:lang w:val="fr-FR"/>
              </w:rPr>
              <w:t>learner</w:t>
            </w:r>
            <w:proofErr w:type="spellEnd"/>
            <w:r w:rsidRPr="00A43F6E">
              <w:rPr>
                <w:sz w:val="24"/>
                <w:szCs w:val="24"/>
                <w:lang w:val="fr-FR"/>
              </w:rPr>
              <w:t xml:space="preserve"> engagement </w:t>
            </w:r>
          </w:p>
        </w:tc>
        <w:tc>
          <w:tcPr>
            <w:tcW w:w="2977" w:type="dxa"/>
          </w:tcPr>
          <w:p w14:paraId="38418AE2" w14:textId="77777777" w:rsidR="00396A9A" w:rsidRPr="00F134D7" w:rsidRDefault="00396A9A" w:rsidP="00654C99">
            <w:pPr>
              <w:rPr>
                <w:b/>
                <w:bCs/>
                <w:sz w:val="24"/>
                <w:szCs w:val="24"/>
                <w:lang w:val="fr-FR"/>
              </w:rPr>
            </w:pPr>
          </w:p>
        </w:tc>
        <w:tc>
          <w:tcPr>
            <w:tcW w:w="3402" w:type="dxa"/>
          </w:tcPr>
          <w:p w14:paraId="4579D78B" w14:textId="77777777" w:rsidR="00396A9A" w:rsidRPr="00F134D7" w:rsidRDefault="00396A9A" w:rsidP="00654C99">
            <w:pPr>
              <w:rPr>
                <w:b/>
                <w:bCs/>
                <w:sz w:val="24"/>
                <w:szCs w:val="24"/>
                <w:lang w:val="fr-FR"/>
              </w:rPr>
            </w:pPr>
          </w:p>
        </w:tc>
      </w:tr>
      <w:tr w:rsidR="00396A9A" w:rsidRPr="008D6B0C" w14:paraId="7B684F7E" w14:textId="77777777" w:rsidTr="00396A9A">
        <w:tc>
          <w:tcPr>
            <w:tcW w:w="7508" w:type="dxa"/>
          </w:tcPr>
          <w:p w14:paraId="4887E4CE" w14:textId="2A45C3DD" w:rsidR="00396A9A" w:rsidRPr="00A43F6E" w:rsidRDefault="00396A9A" w:rsidP="00A43F6E">
            <w:pPr>
              <w:rPr>
                <w:sz w:val="24"/>
                <w:szCs w:val="24"/>
              </w:rPr>
            </w:pPr>
            <w:r w:rsidRPr="00A43F6E">
              <w:rPr>
                <w:sz w:val="24"/>
                <w:szCs w:val="24"/>
              </w:rPr>
              <w:t>Manag</w:t>
            </w:r>
            <w:r w:rsidR="00A43F6E">
              <w:rPr>
                <w:sz w:val="24"/>
                <w:szCs w:val="24"/>
              </w:rPr>
              <w:t>e</w:t>
            </w:r>
            <w:r w:rsidRPr="00A43F6E">
              <w:rPr>
                <w:sz w:val="24"/>
                <w:szCs w:val="24"/>
              </w:rPr>
              <w:t xml:space="preserve"> group interaction, including encouraging inclusive participation and responding to moments of tension or conflict</w:t>
            </w:r>
          </w:p>
        </w:tc>
        <w:tc>
          <w:tcPr>
            <w:tcW w:w="2977" w:type="dxa"/>
          </w:tcPr>
          <w:p w14:paraId="20617F91" w14:textId="77777777" w:rsidR="00396A9A" w:rsidRPr="008D6B0C" w:rsidRDefault="00396A9A" w:rsidP="00654C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57679127" w14:textId="77777777" w:rsidR="00396A9A" w:rsidRPr="008D6B0C" w:rsidRDefault="00396A9A" w:rsidP="00654C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6A9A" w:rsidRPr="008D6B0C" w14:paraId="61860D6A" w14:textId="77777777" w:rsidTr="00396A9A">
        <w:tc>
          <w:tcPr>
            <w:tcW w:w="7508" w:type="dxa"/>
          </w:tcPr>
          <w:p w14:paraId="2B1D0584" w14:textId="656824AD" w:rsidR="00396A9A" w:rsidRPr="00A43F6E" w:rsidRDefault="00396A9A" w:rsidP="00A43F6E">
            <w:pPr>
              <w:rPr>
                <w:sz w:val="24"/>
                <w:szCs w:val="24"/>
              </w:rPr>
            </w:pPr>
            <w:r w:rsidRPr="00A43F6E">
              <w:rPr>
                <w:sz w:val="24"/>
                <w:szCs w:val="24"/>
              </w:rPr>
              <w:t>Build relationships with participants, including awareness of different personality or communication types (</w:t>
            </w:r>
            <w:proofErr w:type="spellStart"/>
            <w:r w:rsidRPr="00A43F6E">
              <w:rPr>
                <w:sz w:val="24"/>
                <w:szCs w:val="24"/>
              </w:rPr>
              <w:t>eg.</w:t>
            </w:r>
            <w:proofErr w:type="spellEnd"/>
            <w:r w:rsidRPr="00A43F6E">
              <w:rPr>
                <w:sz w:val="24"/>
                <w:szCs w:val="24"/>
              </w:rPr>
              <w:t xml:space="preserve"> those who dominate conversations)</w:t>
            </w:r>
          </w:p>
        </w:tc>
        <w:tc>
          <w:tcPr>
            <w:tcW w:w="2977" w:type="dxa"/>
          </w:tcPr>
          <w:p w14:paraId="136953B3" w14:textId="77777777" w:rsidR="00396A9A" w:rsidRPr="008D6B0C" w:rsidRDefault="00396A9A" w:rsidP="00654C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4ABCBD16" w14:textId="77777777" w:rsidR="00396A9A" w:rsidRPr="008D6B0C" w:rsidRDefault="00396A9A" w:rsidP="00654C9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396A9A" w:rsidRPr="008D6B0C" w14:paraId="34C9905D" w14:textId="77777777" w:rsidTr="00396A9A">
        <w:tc>
          <w:tcPr>
            <w:tcW w:w="7508" w:type="dxa"/>
          </w:tcPr>
          <w:p w14:paraId="5CC43C1B" w14:textId="78730AC6" w:rsidR="00396A9A" w:rsidRPr="00A43F6E" w:rsidRDefault="00396A9A" w:rsidP="00A43F6E">
            <w:pPr>
              <w:rPr>
                <w:sz w:val="24"/>
                <w:szCs w:val="24"/>
              </w:rPr>
            </w:pPr>
            <w:r w:rsidRPr="00A43F6E">
              <w:rPr>
                <w:sz w:val="24"/>
                <w:szCs w:val="24"/>
              </w:rPr>
              <w:t>Facilitat</w:t>
            </w:r>
            <w:r w:rsidR="00A43F6E">
              <w:rPr>
                <w:sz w:val="24"/>
                <w:szCs w:val="24"/>
              </w:rPr>
              <w:t>e</w:t>
            </w:r>
            <w:r w:rsidRPr="00A43F6E">
              <w:rPr>
                <w:sz w:val="24"/>
                <w:szCs w:val="24"/>
              </w:rPr>
              <w:t xml:space="preserve"> discussion and other exchanges, including: </w:t>
            </w:r>
          </w:p>
          <w:p w14:paraId="1A06732C" w14:textId="77777777" w:rsidR="00396A9A" w:rsidRDefault="00396A9A" w:rsidP="00396A9A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Clarifying questions </w:t>
            </w:r>
          </w:p>
          <w:p w14:paraId="0386D5BA" w14:textId="39CD1634" w:rsidR="00396A9A" w:rsidRDefault="00396A9A" w:rsidP="00396A9A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Opening, linking or broadening discussion inputs </w:t>
            </w:r>
          </w:p>
          <w:p w14:paraId="21FCFAD0" w14:textId="77777777" w:rsidR="00396A9A" w:rsidRDefault="00396A9A" w:rsidP="00396A9A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Probing or challenging when appropriate</w:t>
            </w:r>
          </w:p>
          <w:p w14:paraId="27C15633" w14:textId="77777777" w:rsidR="00396A9A" w:rsidRDefault="00396A9A" w:rsidP="00396A9A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Closing down discussion</w:t>
            </w:r>
          </w:p>
          <w:p w14:paraId="508F5BD4" w14:textId="67BB5B06" w:rsidR="00396A9A" w:rsidRDefault="00396A9A" w:rsidP="00396A9A">
            <w:pPr>
              <w:pStyle w:val="ListParagraph"/>
              <w:numPr>
                <w:ilvl w:val="1"/>
                <w:numId w:val="1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Summarising learned points</w:t>
            </w:r>
          </w:p>
        </w:tc>
        <w:tc>
          <w:tcPr>
            <w:tcW w:w="2977" w:type="dxa"/>
          </w:tcPr>
          <w:p w14:paraId="26C2AAB6" w14:textId="77777777" w:rsidR="00396A9A" w:rsidRPr="008D6B0C" w:rsidRDefault="00396A9A" w:rsidP="00654C9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402" w:type="dxa"/>
          </w:tcPr>
          <w:p w14:paraId="151BC1AA" w14:textId="77777777" w:rsidR="00396A9A" w:rsidRPr="008D6B0C" w:rsidRDefault="00396A9A" w:rsidP="00654C9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7DA6A34D" w14:textId="035B6D4A" w:rsidR="00660640" w:rsidRDefault="00660640">
      <w:pPr>
        <w:rPr>
          <w:sz w:val="24"/>
          <w:szCs w:val="24"/>
        </w:rPr>
      </w:pPr>
    </w:p>
    <w:p w14:paraId="0C54D252" w14:textId="67576B76" w:rsidR="00396A9A" w:rsidRDefault="00396A9A" w:rsidP="00396A9A">
      <w:pPr>
        <w:rPr>
          <w:sz w:val="28"/>
          <w:szCs w:val="28"/>
        </w:rPr>
      </w:pPr>
      <w:r>
        <w:rPr>
          <w:sz w:val="28"/>
          <w:szCs w:val="28"/>
        </w:rPr>
        <w:t xml:space="preserve">If you have answered </w:t>
      </w:r>
      <w:r w:rsidRPr="00331F8D">
        <w:rPr>
          <w:b/>
          <w:bCs/>
          <w:sz w:val="28"/>
          <w:szCs w:val="28"/>
        </w:rPr>
        <w:t xml:space="preserve">“I </w:t>
      </w:r>
      <w:r>
        <w:rPr>
          <w:b/>
          <w:bCs/>
          <w:sz w:val="28"/>
          <w:szCs w:val="28"/>
        </w:rPr>
        <w:t xml:space="preserve">need to work on </w:t>
      </w:r>
      <w:proofErr w:type="spellStart"/>
      <w:proofErr w:type="gramStart"/>
      <w:r>
        <w:rPr>
          <w:b/>
          <w:bCs/>
          <w:sz w:val="28"/>
          <w:szCs w:val="28"/>
        </w:rPr>
        <w:t>this”</w:t>
      </w:r>
      <w:r w:rsidRPr="00403836">
        <w:rPr>
          <w:sz w:val="28"/>
          <w:szCs w:val="28"/>
        </w:rPr>
        <w:t>for</w:t>
      </w:r>
      <w:proofErr w:type="spellEnd"/>
      <w:proofErr w:type="gramEnd"/>
      <w:r w:rsidRPr="00403836">
        <w:rPr>
          <w:sz w:val="28"/>
          <w:szCs w:val="28"/>
        </w:rPr>
        <w:t xml:space="preserve"> any of the above: </w:t>
      </w:r>
      <w:r>
        <w:rPr>
          <w:sz w:val="28"/>
          <w:szCs w:val="28"/>
        </w:rPr>
        <w:t xml:space="preserve"> </w:t>
      </w:r>
    </w:p>
    <w:p w14:paraId="657C54F8" w14:textId="141C0562" w:rsidR="00396A9A" w:rsidRPr="00396A9A" w:rsidRDefault="00396A9A" w:rsidP="00396A9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8"/>
          <w:szCs w:val="28"/>
        </w:rPr>
        <w:t>Use our Facilitators Guide to learn more about what is expected as a SusQI facilitator</w:t>
      </w:r>
    </w:p>
    <w:p w14:paraId="080592D7" w14:textId="52AC6132" w:rsidR="00396A9A" w:rsidRPr="00EB5EB5" w:rsidRDefault="00396A9A" w:rsidP="00396A9A">
      <w:pPr>
        <w:pStyle w:val="ListParagraph"/>
        <w:numPr>
          <w:ilvl w:val="0"/>
          <w:numId w:val="11"/>
        </w:numPr>
        <w:rPr>
          <w:sz w:val="24"/>
          <w:szCs w:val="24"/>
        </w:rPr>
      </w:pPr>
      <w:r>
        <w:rPr>
          <w:sz w:val="28"/>
          <w:szCs w:val="28"/>
        </w:rPr>
        <w:t xml:space="preserve">Contact the SusQI Education team </w:t>
      </w:r>
    </w:p>
    <w:p w14:paraId="0D5FDD29" w14:textId="77777777" w:rsidR="00EB5EB5" w:rsidRPr="00EB5EB5" w:rsidRDefault="00EB5EB5" w:rsidP="00EB5EB5">
      <w:pPr>
        <w:rPr>
          <w:sz w:val="24"/>
          <w:szCs w:val="24"/>
        </w:rPr>
      </w:pPr>
    </w:p>
    <w:p w14:paraId="70209034" w14:textId="16B3486F" w:rsidR="00396A9A" w:rsidRDefault="00EC3256" w:rsidP="00396A9A">
      <w:pPr>
        <w:rPr>
          <w:color w:val="0070C0"/>
          <w:sz w:val="32"/>
          <w:szCs w:val="32"/>
          <w:u w:val="single"/>
        </w:rPr>
      </w:pPr>
      <w:r>
        <w:rPr>
          <w:color w:val="0070C0"/>
          <w:sz w:val="32"/>
          <w:szCs w:val="32"/>
          <w:u w:val="single"/>
        </w:rPr>
        <w:t>Preparing</w:t>
      </w:r>
      <w:r w:rsidR="00396A9A">
        <w:rPr>
          <w:color w:val="0070C0"/>
          <w:sz w:val="32"/>
          <w:szCs w:val="32"/>
          <w:u w:val="single"/>
        </w:rPr>
        <w:t xml:space="preserve"> for your workshop</w:t>
      </w:r>
    </w:p>
    <w:p w14:paraId="5D04EF8C" w14:textId="6FC00E9C" w:rsidR="00396A9A" w:rsidRDefault="00472A77" w:rsidP="00396A9A">
      <w:pPr>
        <w:rPr>
          <w:sz w:val="24"/>
          <w:szCs w:val="24"/>
        </w:rPr>
      </w:pPr>
      <w:r>
        <w:rPr>
          <w:sz w:val="24"/>
          <w:szCs w:val="24"/>
        </w:rPr>
        <w:t xml:space="preserve">Use this checklist to prepare for your SusQI teaching session.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85"/>
        <w:gridCol w:w="3463"/>
      </w:tblGrid>
      <w:tr w:rsidR="00472A77" w14:paraId="4411C9EA" w14:textId="77777777" w:rsidTr="00160F15">
        <w:tc>
          <w:tcPr>
            <w:tcW w:w="10485" w:type="dxa"/>
            <w:shd w:val="clear" w:color="auto" w:fill="FFE599" w:themeFill="accent4" w:themeFillTint="66"/>
          </w:tcPr>
          <w:p w14:paraId="57F3C6E6" w14:textId="61CE4B4B" w:rsidR="00472A77" w:rsidRPr="00472A77" w:rsidRDefault="00160F15" w:rsidP="00396A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Prepare thoroughly for the session, making sure you:</w:t>
            </w:r>
          </w:p>
        </w:tc>
        <w:tc>
          <w:tcPr>
            <w:tcW w:w="3463" w:type="dxa"/>
          </w:tcPr>
          <w:p w14:paraId="3E224730" w14:textId="7AD0B090" w:rsidR="00472A77" w:rsidRPr="00472A77" w:rsidRDefault="00160F15" w:rsidP="00396A9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Complete/Not complete</w:t>
            </w:r>
          </w:p>
        </w:tc>
      </w:tr>
      <w:tr w:rsidR="00472A77" w14:paraId="6A433187" w14:textId="77777777" w:rsidTr="00472A77">
        <w:tc>
          <w:tcPr>
            <w:tcW w:w="10485" w:type="dxa"/>
          </w:tcPr>
          <w:p w14:paraId="1B1844B2" w14:textId="4C4E268A" w:rsidR="00472A77" w:rsidRDefault="00472A77" w:rsidP="00160F1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Organise your </w:t>
            </w:r>
            <w:proofErr w:type="gramStart"/>
            <w:r>
              <w:rPr>
                <w:sz w:val="24"/>
                <w:szCs w:val="24"/>
              </w:rPr>
              <w:t>slide</w:t>
            </w:r>
            <w:r w:rsidR="00A43F6E">
              <w:rPr>
                <w:sz w:val="24"/>
                <w:szCs w:val="24"/>
              </w:rPr>
              <w:t>s</w:t>
            </w:r>
            <w:r>
              <w:rPr>
                <w:sz w:val="24"/>
                <w:szCs w:val="24"/>
              </w:rPr>
              <w:t xml:space="preserve">, </w:t>
            </w:r>
            <w:r w:rsidR="00A43F6E">
              <w:rPr>
                <w:sz w:val="24"/>
                <w:szCs w:val="24"/>
              </w:rPr>
              <w:t>and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="00496F9D">
              <w:rPr>
                <w:sz w:val="24"/>
                <w:szCs w:val="24"/>
              </w:rPr>
              <w:t>adapt</w:t>
            </w:r>
            <w:r w:rsidR="00E309E8">
              <w:rPr>
                <w:sz w:val="24"/>
                <w:szCs w:val="24"/>
              </w:rPr>
              <w:t xml:space="preserve"> </w:t>
            </w:r>
            <w:r w:rsidR="00A43F6E">
              <w:rPr>
                <w:sz w:val="24"/>
                <w:szCs w:val="24"/>
              </w:rPr>
              <w:t>them</w:t>
            </w:r>
            <w:r w:rsidR="00496F9D">
              <w:rPr>
                <w:sz w:val="24"/>
                <w:szCs w:val="24"/>
              </w:rPr>
              <w:t xml:space="preserve"> to your audience (</w:t>
            </w:r>
            <w:proofErr w:type="spellStart"/>
            <w:r w:rsidR="00496F9D">
              <w:rPr>
                <w:sz w:val="24"/>
                <w:szCs w:val="24"/>
              </w:rPr>
              <w:t>eg.</w:t>
            </w:r>
            <w:proofErr w:type="spellEnd"/>
            <w:r w:rsidR="00496F9D">
              <w:rPr>
                <w:sz w:val="24"/>
                <w:szCs w:val="24"/>
              </w:rPr>
              <w:t xml:space="preserve"> example of hospital </w:t>
            </w:r>
            <w:proofErr w:type="gramStart"/>
            <w:r w:rsidR="00496F9D">
              <w:rPr>
                <w:sz w:val="24"/>
                <w:szCs w:val="24"/>
              </w:rPr>
              <w:t>Green</w:t>
            </w:r>
            <w:proofErr w:type="gramEnd"/>
            <w:r w:rsidR="00496F9D">
              <w:rPr>
                <w:sz w:val="24"/>
                <w:szCs w:val="24"/>
              </w:rPr>
              <w:t xml:space="preserve"> plan, or local SusQI/sustainability initiatives)</w:t>
            </w:r>
          </w:p>
          <w:p w14:paraId="00740E12" w14:textId="6D294F13" w:rsidR="00496F9D" w:rsidRDefault="00496F9D" w:rsidP="00160F1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Organise the resources required for your interactive/</w:t>
            </w:r>
            <w:r w:rsidR="00A43F6E" w:rsidDel="00A43F6E">
              <w:rPr>
                <w:sz w:val="24"/>
                <w:szCs w:val="24"/>
              </w:rPr>
              <w:t xml:space="preserve"> </w:t>
            </w:r>
            <w:r w:rsidR="00A43F6E">
              <w:rPr>
                <w:sz w:val="24"/>
                <w:szCs w:val="24"/>
              </w:rPr>
              <w:t>small group</w:t>
            </w:r>
            <w:r>
              <w:rPr>
                <w:sz w:val="24"/>
                <w:szCs w:val="24"/>
              </w:rPr>
              <w:t xml:space="preserve"> activities, including briefing </w:t>
            </w:r>
            <w:r w:rsidR="00A43F6E">
              <w:rPr>
                <w:sz w:val="24"/>
                <w:szCs w:val="24"/>
              </w:rPr>
              <w:t xml:space="preserve">all </w:t>
            </w:r>
            <w:r>
              <w:rPr>
                <w:sz w:val="24"/>
                <w:szCs w:val="24"/>
              </w:rPr>
              <w:t>facilitators</w:t>
            </w:r>
          </w:p>
          <w:p w14:paraId="7B84ABA2" w14:textId="5F063B07" w:rsidR="00496F9D" w:rsidRDefault="00160F15" w:rsidP="00160F1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96F9D">
              <w:rPr>
                <w:sz w:val="24"/>
                <w:szCs w:val="24"/>
              </w:rPr>
              <w:t>now how to use relevant technology (</w:t>
            </w:r>
            <w:proofErr w:type="spellStart"/>
            <w:r w:rsidR="00496F9D">
              <w:rPr>
                <w:sz w:val="24"/>
                <w:szCs w:val="24"/>
              </w:rPr>
              <w:t>eg.</w:t>
            </w:r>
            <w:proofErr w:type="spellEnd"/>
            <w:r w:rsidR="00496F9D">
              <w:rPr>
                <w:sz w:val="24"/>
                <w:szCs w:val="24"/>
              </w:rPr>
              <w:t xml:space="preserve"> breakout rooms, </w:t>
            </w:r>
            <w:proofErr w:type="spellStart"/>
            <w:r w:rsidR="00496F9D">
              <w:rPr>
                <w:sz w:val="24"/>
                <w:szCs w:val="24"/>
              </w:rPr>
              <w:t>jamboards</w:t>
            </w:r>
            <w:proofErr w:type="spellEnd"/>
            <w:r w:rsidR="00496F9D">
              <w:rPr>
                <w:sz w:val="24"/>
                <w:szCs w:val="24"/>
              </w:rPr>
              <w:t>)</w:t>
            </w:r>
          </w:p>
          <w:p w14:paraId="50A7E4C3" w14:textId="73DA9922" w:rsidR="00472A77" w:rsidRDefault="00774DF1" w:rsidP="00160F15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</w:t>
            </w:r>
            <w:r w:rsidR="00496F9D">
              <w:rPr>
                <w:sz w:val="24"/>
                <w:szCs w:val="24"/>
              </w:rPr>
              <w:t xml:space="preserve">now how to signpost to susqi.org resources including: </w:t>
            </w:r>
          </w:p>
          <w:p w14:paraId="4B4778D4" w14:textId="2B1D6552" w:rsidR="00496F9D" w:rsidRDefault="00496F9D" w:rsidP="00160F15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Scanning for </w:t>
            </w:r>
            <w:r w:rsidR="00160F15">
              <w:rPr>
                <w:sz w:val="24"/>
                <w:szCs w:val="24"/>
              </w:rPr>
              <w:t xml:space="preserve">Waste table </w:t>
            </w:r>
          </w:p>
          <w:p w14:paraId="21C4C139" w14:textId="0CFE8655" w:rsidR="00160F15" w:rsidRDefault="00160F15" w:rsidP="00160F15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Recognising Resource use table </w:t>
            </w:r>
          </w:p>
          <w:p w14:paraId="1B742EB1" w14:textId="7EAA199F" w:rsidR="00160F15" w:rsidRDefault="00160F15" w:rsidP="00160F15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Scanning for Social impact table </w:t>
            </w:r>
          </w:p>
          <w:p w14:paraId="5EA5DDCC" w14:textId="62CC4FF7" w:rsidR="00160F15" w:rsidRDefault="00160F15" w:rsidP="00160F15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Scanning for Social Determinants table </w:t>
            </w:r>
          </w:p>
          <w:p w14:paraId="2630D2A2" w14:textId="1E2B2DCE" w:rsidR="00496F9D" w:rsidRDefault="00160F15" w:rsidP="00160F15">
            <w:pPr>
              <w:pStyle w:val="ListParagraph"/>
              <w:numPr>
                <w:ilvl w:val="1"/>
                <w:numId w:val="1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Environmental outcomes: carbon </w:t>
            </w:r>
            <w:proofErr w:type="spellStart"/>
            <w:r>
              <w:rPr>
                <w:sz w:val="24"/>
                <w:szCs w:val="24"/>
              </w:rPr>
              <w:t>footprinting</w:t>
            </w:r>
            <w:proofErr w:type="spellEnd"/>
            <w:r>
              <w:rPr>
                <w:sz w:val="24"/>
                <w:szCs w:val="24"/>
              </w:rPr>
              <w:t xml:space="preserve"> for healthcare guide</w:t>
            </w:r>
          </w:p>
          <w:p w14:paraId="797BE8CD" w14:textId="0305426F" w:rsidR="00472A77" w:rsidRDefault="00472A77" w:rsidP="00396A9A">
            <w:pPr>
              <w:rPr>
                <w:sz w:val="24"/>
                <w:szCs w:val="24"/>
              </w:rPr>
            </w:pPr>
            <w:r w:rsidRPr="00496F9D">
              <w:rPr>
                <w:b/>
                <w:bCs/>
                <w:sz w:val="24"/>
                <w:szCs w:val="24"/>
              </w:rPr>
              <w:t>NB: The</w:t>
            </w:r>
            <w:r w:rsidR="00496F9D">
              <w:rPr>
                <w:b/>
                <w:bCs/>
                <w:sz w:val="24"/>
                <w:szCs w:val="24"/>
              </w:rPr>
              <w:t xml:space="preserve"> educational materials used may </w:t>
            </w:r>
            <w:r w:rsidRPr="00496F9D">
              <w:rPr>
                <w:b/>
                <w:bCs/>
                <w:sz w:val="24"/>
                <w:szCs w:val="24"/>
              </w:rPr>
              <w:t xml:space="preserve">be your own, or from the SusQI Educator Pack on </w:t>
            </w:r>
            <w:hyperlink r:id="rId10" w:history="1">
              <w:r w:rsidRPr="00160F15">
                <w:rPr>
                  <w:rStyle w:val="Hyperlink"/>
                  <w:b/>
                  <w:bCs/>
                  <w:sz w:val="24"/>
                  <w:szCs w:val="24"/>
                </w:rPr>
                <w:t>susq</w:t>
              </w:r>
              <w:r w:rsidR="00160F15" w:rsidRPr="00160F15">
                <w:rPr>
                  <w:rStyle w:val="Hyperlink"/>
                  <w:b/>
                  <w:bCs/>
                  <w:sz w:val="24"/>
                  <w:szCs w:val="24"/>
                </w:rPr>
                <w:t>i</w:t>
              </w:r>
              <w:r w:rsidRPr="00160F15">
                <w:rPr>
                  <w:rStyle w:val="Hyperlink"/>
                  <w:b/>
                  <w:bCs/>
                  <w:sz w:val="24"/>
                  <w:szCs w:val="24"/>
                </w:rPr>
                <w:t>.org</w:t>
              </w:r>
            </w:hyperlink>
          </w:p>
        </w:tc>
        <w:tc>
          <w:tcPr>
            <w:tcW w:w="3463" w:type="dxa"/>
          </w:tcPr>
          <w:p w14:paraId="219EF5AA" w14:textId="77777777" w:rsidR="00472A77" w:rsidRDefault="00472A77" w:rsidP="00396A9A">
            <w:pPr>
              <w:rPr>
                <w:sz w:val="24"/>
                <w:szCs w:val="24"/>
              </w:rPr>
            </w:pPr>
          </w:p>
        </w:tc>
      </w:tr>
    </w:tbl>
    <w:p w14:paraId="56AAC940" w14:textId="77777777" w:rsidR="005F3049" w:rsidRPr="00824B24" w:rsidRDefault="005F3049">
      <w:pPr>
        <w:rPr>
          <w:sz w:val="28"/>
          <w:szCs w:val="28"/>
        </w:rPr>
      </w:pPr>
    </w:p>
    <w:sectPr w:rsidR="005F3049" w:rsidRPr="00824B24" w:rsidSect="004E06A2">
      <w:headerReference w:type="default" r:id="rId11"/>
      <w:footerReference w:type="defaul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8917D8" w14:textId="77777777" w:rsidR="004656CB" w:rsidRDefault="004656CB" w:rsidP="0021027D">
      <w:pPr>
        <w:spacing w:after="0" w:line="240" w:lineRule="auto"/>
      </w:pPr>
      <w:r>
        <w:separator/>
      </w:r>
    </w:p>
  </w:endnote>
  <w:endnote w:type="continuationSeparator" w:id="0">
    <w:p w14:paraId="7F8217DA" w14:textId="77777777" w:rsidR="004656CB" w:rsidRDefault="004656CB" w:rsidP="00210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813FFC" w14:textId="3B7CBF5C" w:rsidR="00364BFE" w:rsidRDefault="00364BFE" w:rsidP="003A25C1">
    <w:pPr>
      <w:spacing w:after="0" w:line="240" w:lineRule="auto"/>
    </w:pPr>
    <w:r w:rsidRPr="00364BFE">
      <w:rPr>
        <w:rFonts w:ascii="Segoe UI" w:eastAsia="Times New Roman" w:hAnsi="Segoe UI" w:cs="Segoe UI"/>
        <w:color w:val="000000"/>
        <w:sz w:val="23"/>
        <w:szCs w:val="23"/>
        <w:bdr w:val="none" w:sz="0" w:space="0" w:color="auto" w:frame="1"/>
        <w:shd w:val="clear" w:color="auto" w:fill="FFFFFF"/>
        <w:lang w:eastAsia="en-GB"/>
      </w:rPr>
      <w:t> </w:t>
    </w:r>
    <w:r w:rsidRPr="00364BFE">
      <w:rPr>
        <w:rFonts w:ascii="Segoe UI" w:eastAsia="Times New Roman" w:hAnsi="Segoe UI" w:cs="Segoe UI"/>
        <w:color w:val="595959"/>
        <w:sz w:val="18"/>
        <w:szCs w:val="18"/>
        <w:bdr w:val="none" w:sz="0" w:space="0" w:color="auto" w:frame="1"/>
        <w:shd w:val="clear" w:color="auto" w:fill="FFFFFF"/>
        <w:lang w:val="en-US" w:eastAsia="en-GB"/>
      </w:rPr>
      <w:t xml:space="preserve">The Centre for Sustainable Healthcare is registered in England &amp; Wales as a company limited by </w:t>
    </w:r>
    <w:proofErr w:type="gramStart"/>
    <w:r w:rsidRPr="00364BFE">
      <w:rPr>
        <w:rFonts w:ascii="Segoe UI" w:eastAsia="Times New Roman" w:hAnsi="Segoe UI" w:cs="Segoe UI"/>
        <w:color w:val="595959"/>
        <w:sz w:val="18"/>
        <w:szCs w:val="18"/>
        <w:bdr w:val="none" w:sz="0" w:space="0" w:color="auto" w:frame="1"/>
        <w:shd w:val="clear" w:color="auto" w:fill="FFFFFF"/>
        <w:lang w:val="en-US" w:eastAsia="en-GB"/>
      </w:rPr>
      <w:t>guarantee</w:t>
    </w:r>
    <w:proofErr w:type="gramEnd"/>
    <w:r w:rsidRPr="00364BFE">
      <w:rPr>
        <w:rFonts w:ascii="Segoe UI" w:eastAsia="Times New Roman" w:hAnsi="Segoe UI" w:cs="Segoe UI"/>
        <w:color w:val="595959"/>
        <w:sz w:val="18"/>
        <w:szCs w:val="18"/>
        <w:bdr w:val="none" w:sz="0" w:space="0" w:color="auto" w:frame="1"/>
        <w:shd w:val="clear" w:color="auto" w:fill="FFFFFF"/>
        <w:lang w:val="en-US" w:eastAsia="en-GB"/>
      </w:rPr>
      <w:t> </w:t>
    </w:r>
    <w:r w:rsidRPr="00364BFE">
      <w:rPr>
        <w:rFonts w:ascii="Segoe UI" w:eastAsia="Times New Roman" w:hAnsi="Segoe UI" w:cs="Segoe UI"/>
        <w:color w:val="595959"/>
        <w:sz w:val="18"/>
        <w:szCs w:val="18"/>
        <w:bdr w:val="none" w:sz="0" w:space="0" w:color="auto" w:frame="1"/>
        <w:shd w:val="clear" w:color="auto" w:fill="FFFFFF"/>
        <w:lang w:val="en" w:eastAsia="en-GB"/>
      </w:rPr>
      <w:t>No. 7450026 and as a charity No. 1143189. Registered address: 8 King Edward Street, Oxford, OX1 4HL</w:t>
    </w:r>
  </w:p>
  <w:p w14:paraId="68DD92F9" w14:textId="77777777" w:rsidR="00364BFE" w:rsidRDefault="00364BFE" w:rsidP="00364BF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E8976F" w14:textId="77777777" w:rsidR="004656CB" w:rsidRDefault="004656CB" w:rsidP="0021027D">
      <w:pPr>
        <w:spacing w:after="0" w:line="240" w:lineRule="auto"/>
      </w:pPr>
      <w:r>
        <w:separator/>
      </w:r>
    </w:p>
  </w:footnote>
  <w:footnote w:type="continuationSeparator" w:id="0">
    <w:p w14:paraId="1A131554" w14:textId="77777777" w:rsidR="004656CB" w:rsidRDefault="004656CB" w:rsidP="002102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B2FEB9" w14:textId="45167CC9" w:rsidR="0021027D" w:rsidRDefault="003A25C1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hidden="0" allowOverlap="1" wp14:anchorId="0ABDFCEB" wp14:editId="1D4151E2">
          <wp:simplePos x="0" y="0"/>
          <wp:positionH relativeFrom="column">
            <wp:posOffset>7251700</wp:posOffset>
          </wp:positionH>
          <wp:positionV relativeFrom="paragraph">
            <wp:posOffset>-347980</wp:posOffset>
          </wp:positionV>
          <wp:extent cx="2039620" cy="899795"/>
          <wp:effectExtent l="0" t="0" r="0" b="0"/>
          <wp:wrapSquare wrapText="bothSides" distT="0" distB="0" distL="114300" distR="114300"/>
          <wp:docPr id="45" name="image1.png" descr="http://map.sustainablehealthcare.org.uk/sites/default/themes/sheeba/images/csh_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://map.sustainablehealthcare.org.uk/sites/default/themes/sheeba/images/csh_logo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39620" cy="89979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21027D"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13068E69" wp14:editId="76C6578B">
          <wp:simplePos x="0" y="0"/>
          <wp:positionH relativeFrom="margin">
            <wp:posOffset>47625</wp:posOffset>
          </wp:positionH>
          <wp:positionV relativeFrom="topMargin">
            <wp:posOffset>95250</wp:posOffset>
          </wp:positionV>
          <wp:extent cx="814070" cy="814070"/>
          <wp:effectExtent l="0" t="0" r="0" b="5080"/>
          <wp:wrapNone/>
          <wp:docPr id="1" name="Picture 1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sign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4070" cy="814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F370B"/>
    <w:multiLevelType w:val="hybridMultilevel"/>
    <w:tmpl w:val="FDEC04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82477E8">
      <w:numFmt w:val="bullet"/>
      <w:lvlText w:val="•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C15B3"/>
    <w:multiLevelType w:val="hybridMultilevel"/>
    <w:tmpl w:val="32566B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4A7948"/>
    <w:multiLevelType w:val="hybridMultilevel"/>
    <w:tmpl w:val="2D36E4A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30A5C"/>
    <w:multiLevelType w:val="hybridMultilevel"/>
    <w:tmpl w:val="229E72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33947"/>
    <w:multiLevelType w:val="hybridMultilevel"/>
    <w:tmpl w:val="160C4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605800"/>
    <w:multiLevelType w:val="hybridMultilevel"/>
    <w:tmpl w:val="658E6B2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E3EC5"/>
    <w:multiLevelType w:val="hybridMultilevel"/>
    <w:tmpl w:val="8B026986"/>
    <w:lvl w:ilvl="0" w:tplc="9CACE9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32C25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2B61E96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24E1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6A5F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161E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74A9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76232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20E8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7815A0D"/>
    <w:multiLevelType w:val="hybridMultilevel"/>
    <w:tmpl w:val="B8B22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D4D1B"/>
    <w:multiLevelType w:val="hybridMultilevel"/>
    <w:tmpl w:val="93C80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66616E"/>
    <w:multiLevelType w:val="hybridMultilevel"/>
    <w:tmpl w:val="13AAE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F457CC"/>
    <w:multiLevelType w:val="hybridMultilevel"/>
    <w:tmpl w:val="6144D764"/>
    <w:lvl w:ilvl="0" w:tplc="ECF058F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171376"/>
    <w:multiLevelType w:val="hybridMultilevel"/>
    <w:tmpl w:val="B88434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7D3DD1"/>
    <w:multiLevelType w:val="hybridMultilevel"/>
    <w:tmpl w:val="81F6410C"/>
    <w:lvl w:ilvl="0" w:tplc="08090001">
      <w:start w:val="1"/>
      <w:numFmt w:val="bullet"/>
      <w:lvlText w:val=""/>
      <w:lvlJc w:val="left"/>
      <w:pPr>
        <w:ind w:left="107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9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1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3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5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7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9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1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39" w:hanging="360"/>
      </w:pPr>
      <w:rPr>
        <w:rFonts w:ascii="Wingdings" w:hAnsi="Wingdings" w:hint="default"/>
      </w:rPr>
    </w:lvl>
  </w:abstractNum>
  <w:abstractNum w:abstractNumId="13" w15:restartNumberingAfterBreak="0">
    <w:nsid w:val="6016087D"/>
    <w:multiLevelType w:val="hybridMultilevel"/>
    <w:tmpl w:val="B94AC9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0F202E"/>
    <w:multiLevelType w:val="hybridMultilevel"/>
    <w:tmpl w:val="60923E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D4F68"/>
    <w:multiLevelType w:val="hybridMultilevel"/>
    <w:tmpl w:val="2C621F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30D9F"/>
    <w:multiLevelType w:val="hybridMultilevel"/>
    <w:tmpl w:val="0ABE7D4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071A81"/>
    <w:multiLevelType w:val="hybridMultilevel"/>
    <w:tmpl w:val="56B49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0646948">
    <w:abstractNumId w:val="6"/>
  </w:num>
  <w:num w:numId="2" w16cid:durableId="1332222119">
    <w:abstractNumId w:val="10"/>
  </w:num>
  <w:num w:numId="3" w16cid:durableId="283538085">
    <w:abstractNumId w:val="3"/>
  </w:num>
  <w:num w:numId="4" w16cid:durableId="250746689">
    <w:abstractNumId w:val="0"/>
  </w:num>
  <w:num w:numId="5" w16cid:durableId="1358309651">
    <w:abstractNumId w:val="15"/>
  </w:num>
  <w:num w:numId="6" w16cid:durableId="841972417">
    <w:abstractNumId w:val="4"/>
  </w:num>
  <w:num w:numId="7" w16cid:durableId="1209028807">
    <w:abstractNumId w:val="17"/>
  </w:num>
  <w:num w:numId="8" w16cid:durableId="1491407646">
    <w:abstractNumId w:val="12"/>
  </w:num>
  <w:num w:numId="9" w16cid:durableId="1494638417">
    <w:abstractNumId w:val="8"/>
  </w:num>
  <w:num w:numId="10" w16cid:durableId="1630236864">
    <w:abstractNumId w:val="14"/>
  </w:num>
  <w:num w:numId="11" w16cid:durableId="1801529387">
    <w:abstractNumId w:val="7"/>
  </w:num>
  <w:num w:numId="12" w16cid:durableId="1106776053">
    <w:abstractNumId w:val="1"/>
  </w:num>
  <w:num w:numId="13" w16cid:durableId="1075474141">
    <w:abstractNumId w:val="13"/>
  </w:num>
  <w:num w:numId="14" w16cid:durableId="1123111569">
    <w:abstractNumId w:val="9"/>
  </w:num>
  <w:num w:numId="15" w16cid:durableId="888958790">
    <w:abstractNumId w:val="11"/>
  </w:num>
  <w:num w:numId="16" w16cid:durableId="1855144573">
    <w:abstractNumId w:val="2"/>
  </w:num>
  <w:num w:numId="17" w16cid:durableId="360204533">
    <w:abstractNumId w:val="16"/>
  </w:num>
  <w:num w:numId="18" w16cid:durableId="5324230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27D"/>
    <w:rsid w:val="00044C8E"/>
    <w:rsid w:val="0006166C"/>
    <w:rsid w:val="000B03DF"/>
    <w:rsid w:val="001479B7"/>
    <w:rsid w:val="00160F15"/>
    <w:rsid w:val="001820F7"/>
    <w:rsid w:val="001F1D00"/>
    <w:rsid w:val="001F248E"/>
    <w:rsid w:val="0021027D"/>
    <w:rsid w:val="00251F05"/>
    <w:rsid w:val="00275071"/>
    <w:rsid w:val="002E2C36"/>
    <w:rsid w:val="002F1E34"/>
    <w:rsid w:val="00317647"/>
    <w:rsid w:val="00331F8D"/>
    <w:rsid w:val="00364BFE"/>
    <w:rsid w:val="00374536"/>
    <w:rsid w:val="00396A9A"/>
    <w:rsid w:val="003A25C1"/>
    <w:rsid w:val="003C7E37"/>
    <w:rsid w:val="003D1CCB"/>
    <w:rsid w:val="00401159"/>
    <w:rsid w:val="00403836"/>
    <w:rsid w:val="00406E07"/>
    <w:rsid w:val="004259BA"/>
    <w:rsid w:val="00437850"/>
    <w:rsid w:val="004656CB"/>
    <w:rsid w:val="00472A77"/>
    <w:rsid w:val="00495D7C"/>
    <w:rsid w:val="00496F9D"/>
    <w:rsid w:val="004E06A2"/>
    <w:rsid w:val="004F47D4"/>
    <w:rsid w:val="0055037F"/>
    <w:rsid w:val="005E3310"/>
    <w:rsid w:val="005F3049"/>
    <w:rsid w:val="0060572E"/>
    <w:rsid w:val="00660640"/>
    <w:rsid w:val="006D3C52"/>
    <w:rsid w:val="006D3E99"/>
    <w:rsid w:val="00774DF1"/>
    <w:rsid w:val="00796EC6"/>
    <w:rsid w:val="00824B24"/>
    <w:rsid w:val="00875033"/>
    <w:rsid w:val="008D6B0C"/>
    <w:rsid w:val="00923FC3"/>
    <w:rsid w:val="009638B3"/>
    <w:rsid w:val="0099638F"/>
    <w:rsid w:val="009D4439"/>
    <w:rsid w:val="00A422D4"/>
    <w:rsid w:val="00A43F6E"/>
    <w:rsid w:val="00A72E3B"/>
    <w:rsid w:val="00AC778C"/>
    <w:rsid w:val="00AE42DE"/>
    <w:rsid w:val="00AE486E"/>
    <w:rsid w:val="00AF3855"/>
    <w:rsid w:val="00B16052"/>
    <w:rsid w:val="00B215C9"/>
    <w:rsid w:val="00B318DA"/>
    <w:rsid w:val="00B65246"/>
    <w:rsid w:val="00B94984"/>
    <w:rsid w:val="00BB131E"/>
    <w:rsid w:val="00BE0A05"/>
    <w:rsid w:val="00C4499A"/>
    <w:rsid w:val="00C55416"/>
    <w:rsid w:val="00C84B8F"/>
    <w:rsid w:val="00CC329E"/>
    <w:rsid w:val="00CC743A"/>
    <w:rsid w:val="00CF3B23"/>
    <w:rsid w:val="00DC049B"/>
    <w:rsid w:val="00DE69F5"/>
    <w:rsid w:val="00E22551"/>
    <w:rsid w:val="00E309E8"/>
    <w:rsid w:val="00E6415F"/>
    <w:rsid w:val="00E678D6"/>
    <w:rsid w:val="00EB5EB5"/>
    <w:rsid w:val="00EC3256"/>
    <w:rsid w:val="00EE6EB7"/>
    <w:rsid w:val="00F134D7"/>
    <w:rsid w:val="00F47152"/>
    <w:rsid w:val="00FA405A"/>
    <w:rsid w:val="00FA5393"/>
    <w:rsid w:val="00FD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3D689"/>
  <w15:chartTrackingRefBased/>
  <w15:docId w15:val="{524B86DD-2682-4A0D-97E2-A5B2B9BCE1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160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10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027D"/>
  </w:style>
  <w:style w:type="paragraph" w:styleId="Footer">
    <w:name w:val="footer"/>
    <w:basedOn w:val="Normal"/>
    <w:link w:val="FooterChar"/>
    <w:uiPriority w:val="99"/>
    <w:unhideWhenUsed/>
    <w:rsid w:val="002102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027D"/>
  </w:style>
  <w:style w:type="character" w:styleId="Hyperlink">
    <w:name w:val="Hyperlink"/>
    <w:basedOn w:val="DefaultParagraphFont"/>
    <w:uiPriority w:val="99"/>
    <w:unhideWhenUsed/>
    <w:rsid w:val="00B215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15C9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449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72E3B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160F15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Revision">
    <w:name w:val="Revision"/>
    <w:hidden/>
    <w:uiPriority w:val="99"/>
    <w:semiHidden/>
    <w:rsid w:val="0043785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796EC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EC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6EC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EC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EC6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364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277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28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ore.aamc.org/downloadable/download/sample/sample_id/302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edicaleducators.org/write/MediaManager/Documents/AoME_Professional_Standards_4th_edition_1.0_(web_full_single_page_spreads).pdf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susqi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390df0b-5eec-423d-978a-d16f2c4a124a.filesusr.com/ugd/f57abc_efb9cbae055d4ca2a9d3bddf534278e0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924</Words>
  <Characters>5197</Characters>
  <Application>Microsoft Office Word</Application>
  <DocSecurity>0</DocSecurity>
  <Lines>192</Lines>
  <Paragraphs>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6033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Stanford</dc:creator>
  <cp:keywords/>
  <dc:description/>
  <cp:lastModifiedBy>Siobhan Parslow-Williams</cp:lastModifiedBy>
  <cp:revision>2</cp:revision>
  <dcterms:created xsi:type="dcterms:W3CDTF">2022-09-14T15:20:00Z</dcterms:created>
  <dcterms:modified xsi:type="dcterms:W3CDTF">2022-09-14T15:20:00Z</dcterms:modified>
  <cp:category/>
</cp:coreProperties>
</file>